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E5" w:rsidRPr="00623C2F" w:rsidRDefault="009142E5" w:rsidP="009142E5">
      <w:pPr>
        <w:pStyle w:val="CommentText"/>
        <w:jc w:val="center"/>
        <w:rPr>
          <w:b/>
          <w:noProof/>
          <w:sz w:val="24"/>
          <w:szCs w:val="24"/>
          <w:u w:val="single"/>
          <w:lang w:val="en-US"/>
        </w:rPr>
      </w:pPr>
    </w:p>
    <w:p w:rsidR="009142E5" w:rsidRDefault="009D6722" w:rsidP="0091176F">
      <w:pPr>
        <w:tabs>
          <w:tab w:val="left" w:pos="2160"/>
        </w:tabs>
      </w:pPr>
      <w:r>
        <w:rPr>
          <w:noProof/>
          <w:lang w:eastAsia="en-GB"/>
        </w:rPr>
        <mc:AlternateContent>
          <mc:Choice Requires="wps">
            <w:drawing>
              <wp:anchor distT="0" distB="0" distL="114300" distR="114300" simplePos="0" relativeHeight="251657728" behindDoc="1" locked="0" layoutInCell="1" allowOverlap="1">
                <wp:simplePos x="0" y="0"/>
                <wp:positionH relativeFrom="column">
                  <wp:posOffset>4219575</wp:posOffset>
                </wp:positionH>
                <wp:positionV relativeFrom="paragraph">
                  <wp:posOffset>11430</wp:posOffset>
                </wp:positionV>
                <wp:extent cx="1121410" cy="1350010"/>
                <wp:effectExtent l="0" t="1905" r="2540" b="635"/>
                <wp:wrapTight wrapText="bothSides">
                  <wp:wrapPolygon edited="0">
                    <wp:start x="-183" y="0"/>
                    <wp:lineTo x="-183" y="21448"/>
                    <wp:lineTo x="21600" y="21448"/>
                    <wp:lineTo x="21600" y="0"/>
                    <wp:lineTo x="-183"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3500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2.25pt;margin-top:.9pt;width:88.3pt;height:106.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" stroked="f" strokeweight="0">
                <v:textbox style="mso-fit-shape-to-text:t">
                  <w:txbxContent>
                    <w:p w:rsidR="0091176F" w:rsidRDefault="009D6722">
                      <w:r>
                        <w:rPr>
                          <w:noProof/>
                          <w:lang w:eastAsia="en-GB"/>
                        </w:rPr>
                        <w:drawing>
                          <wp:inline distT="0" distB="0" distL="0" distR="0">
                            <wp:extent cx="939800" cy="1257300"/>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txbxContent>
                </v:textbox>
                <w10:wrap type="tight"/>
              </v:shape>
            </w:pict>
          </mc:Fallback>
        </mc:AlternateContent>
      </w: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Default="0091176F" w:rsidP="0091176F">
      <w:pPr>
        <w:tabs>
          <w:tab w:val="left" w:pos="2160"/>
        </w:tabs>
      </w:pPr>
    </w:p>
    <w:p w:rsidR="0091176F" w:rsidRPr="009142E5" w:rsidRDefault="0091176F" w:rsidP="0091176F">
      <w:pPr>
        <w:tabs>
          <w:tab w:val="left" w:pos="2160"/>
        </w:tabs>
        <w:jc w:val="right"/>
        <w:rPr>
          <w:rFonts w:cs="Arial"/>
          <w:bCs/>
        </w:rPr>
      </w:pPr>
    </w:p>
    <w:p w:rsidR="009142E5" w:rsidRPr="0091176F" w:rsidRDefault="009142E5" w:rsidP="005D4C4D">
      <w:pPr>
        <w:tabs>
          <w:tab w:val="left" w:pos="2160"/>
        </w:tabs>
        <w:rPr>
          <w:rFonts w:cs="Arial"/>
          <w:b/>
          <w:bCs/>
          <w:u w:val="single"/>
        </w:rPr>
      </w:pPr>
    </w:p>
    <w:p w:rsidR="009142E5" w:rsidRPr="009142E5" w:rsidRDefault="009142E5" w:rsidP="005D4C4D">
      <w:pPr>
        <w:tabs>
          <w:tab w:val="left" w:pos="2160"/>
        </w:tabs>
        <w:rPr>
          <w:rFonts w:cs="Arial"/>
          <w:bCs/>
        </w:rPr>
      </w:pPr>
    </w:p>
    <w:p w:rsidR="005D4C4D" w:rsidRDefault="005D4C4D" w:rsidP="005D4C4D">
      <w:pPr>
        <w:tabs>
          <w:tab w:val="left" w:pos="2160"/>
        </w:tabs>
        <w:rPr>
          <w:rFonts w:cs="Arial"/>
          <w:b/>
          <w:bCs/>
        </w:rPr>
      </w:pPr>
      <w:r>
        <w:rPr>
          <w:rFonts w:cs="Arial"/>
          <w:b/>
          <w:bCs/>
        </w:rPr>
        <w:t xml:space="preserve">To: </w:t>
      </w:r>
      <w:r>
        <w:rPr>
          <w:rFonts w:cs="Arial"/>
          <w:b/>
          <w:bCs/>
        </w:rPr>
        <w:tab/>
      </w:r>
      <w:r w:rsidR="00AE12E9">
        <w:rPr>
          <w:rFonts w:cs="Arial"/>
          <w:b/>
          <w:bCs/>
        </w:rPr>
        <w:t>City Executive Board</w:t>
      </w:r>
    </w:p>
    <w:p w:rsidR="00212B06" w:rsidRDefault="00212B06" w:rsidP="005D4C4D">
      <w:pPr>
        <w:tabs>
          <w:tab w:val="left" w:pos="2160"/>
        </w:tabs>
        <w:rPr>
          <w:rFonts w:cs="Arial"/>
          <w:b/>
          <w:bCs/>
        </w:rPr>
      </w:pPr>
      <w:r>
        <w:rPr>
          <w:rFonts w:cs="Arial"/>
          <w:b/>
          <w:bCs/>
        </w:rPr>
        <w:tab/>
      </w:r>
    </w:p>
    <w:p w:rsidR="005D4C4D" w:rsidRDefault="005D4C4D" w:rsidP="005D4C4D">
      <w:pPr>
        <w:rPr>
          <w:rFonts w:cs="Arial"/>
          <w:b/>
          <w:bCs/>
        </w:rPr>
      </w:pPr>
    </w:p>
    <w:p w:rsidR="00E21EE8" w:rsidRDefault="005D4C4D" w:rsidP="005D4C4D">
      <w:pPr>
        <w:tabs>
          <w:tab w:val="left" w:pos="2160"/>
          <w:tab w:val="left" w:pos="6300"/>
          <w:tab w:val="left" w:pos="7380"/>
        </w:tabs>
        <w:rPr>
          <w:rFonts w:cs="Arial"/>
          <w:b/>
          <w:bCs/>
        </w:rPr>
      </w:pPr>
      <w:r>
        <w:rPr>
          <w:rFonts w:cs="Arial"/>
          <w:b/>
          <w:bCs/>
        </w:rPr>
        <w:t>Date:</w:t>
      </w:r>
      <w:r>
        <w:rPr>
          <w:rFonts w:cs="Arial"/>
          <w:b/>
          <w:bCs/>
        </w:rPr>
        <w:tab/>
      </w:r>
      <w:r w:rsidR="00006806">
        <w:rPr>
          <w:rFonts w:cs="Arial"/>
          <w:b/>
          <w:bCs/>
        </w:rPr>
        <w:t>10</w:t>
      </w:r>
      <w:r w:rsidR="00AA7C75">
        <w:rPr>
          <w:rFonts w:cs="Arial"/>
          <w:b/>
          <w:bCs/>
        </w:rPr>
        <w:t xml:space="preserve"> </w:t>
      </w:r>
      <w:r w:rsidR="00006806">
        <w:rPr>
          <w:rFonts w:cs="Arial"/>
          <w:b/>
          <w:bCs/>
        </w:rPr>
        <w:t>September</w:t>
      </w:r>
      <w:r w:rsidR="00EE5600">
        <w:rPr>
          <w:rFonts w:cs="Arial"/>
          <w:b/>
          <w:bCs/>
        </w:rPr>
        <w:t xml:space="preserve"> 2015</w:t>
      </w:r>
      <w:r>
        <w:rPr>
          <w:rFonts w:cs="Arial"/>
          <w:b/>
          <w:bCs/>
        </w:rPr>
        <w:tab/>
      </w:r>
      <w:r>
        <w:rPr>
          <w:rFonts w:cs="Arial"/>
          <w:b/>
          <w:bCs/>
        </w:rPr>
        <w:tab/>
      </w:r>
    </w:p>
    <w:p w:rsidR="00212B06" w:rsidRDefault="00212B06" w:rsidP="005D4C4D">
      <w:pPr>
        <w:tabs>
          <w:tab w:val="left" w:pos="2160"/>
          <w:tab w:val="left" w:pos="6300"/>
          <w:tab w:val="left" w:pos="7380"/>
        </w:tabs>
        <w:rPr>
          <w:rFonts w:cs="Arial"/>
          <w:b/>
          <w:bCs/>
        </w:rPr>
      </w:pPr>
      <w:r>
        <w:rPr>
          <w:rFonts w:cs="Arial"/>
          <w:b/>
          <w:bCs/>
        </w:rPr>
        <w:tab/>
      </w:r>
    </w:p>
    <w:p w:rsidR="005D4C4D" w:rsidRDefault="005D4C4D" w:rsidP="005D4C4D">
      <w:pPr>
        <w:jc w:val="right"/>
        <w:rPr>
          <w:rFonts w:cs="Arial"/>
          <w:b/>
          <w:bCs/>
        </w:rPr>
      </w:pPr>
    </w:p>
    <w:p w:rsidR="005D4C4D" w:rsidRDefault="005D4C4D" w:rsidP="005D4C4D">
      <w:pPr>
        <w:rPr>
          <w:rFonts w:cs="Arial"/>
          <w:b/>
          <w:bCs/>
        </w:rPr>
      </w:pPr>
      <w:r>
        <w:rPr>
          <w:rFonts w:cs="Arial"/>
          <w:b/>
          <w:bCs/>
        </w:rPr>
        <w:t>Report of:</w:t>
      </w:r>
      <w:r>
        <w:rPr>
          <w:rFonts w:cs="Arial"/>
          <w:b/>
          <w:bCs/>
        </w:rPr>
        <w:tab/>
      </w:r>
      <w:r>
        <w:rPr>
          <w:rFonts w:cs="Arial"/>
          <w:b/>
          <w:bCs/>
        </w:rPr>
        <w:tab/>
        <w:t>Head of Financ</w:t>
      </w:r>
      <w:r w:rsidR="00AF7455">
        <w:rPr>
          <w:rFonts w:cs="Arial"/>
          <w:b/>
          <w:bCs/>
        </w:rPr>
        <w:t>ial Services</w:t>
      </w:r>
    </w:p>
    <w:p w:rsidR="00533B94" w:rsidRDefault="00533B94" w:rsidP="005D4C4D">
      <w:pPr>
        <w:rPr>
          <w:rFonts w:cs="Arial"/>
          <w:b/>
          <w:bCs/>
        </w:rPr>
      </w:pPr>
      <w:r>
        <w:rPr>
          <w:rFonts w:cs="Arial"/>
          <w:b/>
          <w:bCs/>
        </w:rPr>
        <w:tab/>
      </w:r>
      <w:r>
        <w:rPr>
          <w:rFonts w:cs="Arial"/>
          <w:b/>
          <w:bCs/>
        </w:rPr>
        <w:tab/>
      </w:r>
      <w:r>
        <w:rPr>
          <w:rFonts w:cs="Arial"/>
          <w:b/>
          <w:bCs/>
        </w:rPr>
        <w:tab/>
        <w:t>Head of Business Improvement</w:t>
      </w:r>
    </w:p>
    <w:p w:rsidR="005D4C4D" w:rsidRDefault="005D4C4D" w:rsidP="005D4C4D">
      <w:pPr>
        <w:tabs>
          <w:tab w:val="left" w:pos="2160"/>
        </w:tabs>
        <w:rPr>
          <w:rFonts w:cs="Arial"/>
          <w:b/>
          <w:bCs/>
        </w:rPr>
      </w:pPr>
    </w:p>
    <w:p w:rsidR="005D4C4D" w:rsidRDefault="005D4C4D" w:rsidP="003B022E">
      <w:pPr>
        <w:tabs>
          <w:tab w:val="left" w:pos="2160"/>
        </w:tabs>
        <w:ind w:left="2160" w:hanging="2160"/>
        <w:rPr>
          <w:rFonts w:cs="Arial"/>
          <w:b/>
          <w:bCs/>
        </w:rPr>
      </w:pPr>
      <w:r>
        <w:rPr>
          <w:rFonts w:cs="Arial"/>
          <w:b/>
          <w:bCs/>
        </w:rPr>
        <w:t xml:space="preserve">Title of Report: </w:t>
      </w:r>
      <w:r>
        <w:rPr>
          <w:rFonts w:cs="Arial"/>
          <w:b/>
          <w:bCs/>
        </w:rPr>
        <w:tab/>
      </w:r>
      <w:r w:rsidR="004331BA">
        <w:rPr>
          <w:rFonts w:cs="Arial"/>
          <w:b/>
          <w:bCs/>
        </w:rPr>
        <w:t>I</w:t>
      </w:r>
      <w:r w:rsidR="0091176F">
        <w:rPr>
          <w:rFonts w:cs="Arial"/>
          <w:b/>
          <w:bCs/>
        </w:rPr>
        <w:t>NTEGRATED</w:t>
      </w:r>
      <w:r w:rsidR="004331BA">
        <w:rPr>
          <w:rFonts w:cs="Arial"/>
          <w:b/>
          <w:bCs/>
        </w:rPr>
        <w:t xml:space="preserve"> </w:t>
      </w:r>
      <w:r w:rsidR="004D67CD">
        <w:rPr>
          <w:rFonts w:cs="Arial"/>
          <w:b/>
          <w:bCs/>
        </w:rPr>
        <w:t xml:space="preserve">PERFORMANCE REPORT FOR </w:t>
      </w:r>
      <w:r w:rsidR="00AF08EC">
        <w:rPr>
          <w:rFonts w:cs="Arial"/>
          <w:b/>
          <w:bCs/>
        </w:rPr>
        <w:t xml:space="preserve">QUARTER </w:t>
      </w:r>
      <w:r w:rsidR="00AF7455">
        <w:rPr>
          <w:rFonts w:cs="Arial"/>
          <w:b/>
          <w:bCs/>
        </w:rPr>
        <w:t>1</w:t>
      </w:r>
      <w:r w:rsidR="004331BA">
        <w:rPr>
          <w:rFonts w:cs="Arial"/>
          <w:b/>
          <w:bCs/>
        </w:rPr>
        <w:t xml:space="preserve"> </w:t>
      </w:r>
      <w:r w:rsidR="009E34F6">
        <w:rPr>
          <w:rFonts w:cs="Arial"/>
          <w:b/>
          <w:bCs/>
        </w:rPr>
        <w:t>201</w:t>
      </w:r>
      <w:r w:rsidR="00AF7455">
        <w:rPr>
          <w:rFonts w:cs="Arial"/>
          <w:b/>
          <w:bCs/>
        </w:rPr>
        <w:t>5</w:t>
      </w:r>
      <w:r w:rsidR="005F174D">
        <w:rPr>
          <w:rFonts w:cs="Arial"/>
          <w:b/>
          <w:bCs/>
        </w:rPr>
        <w:t>/</w:t>
      </w:r>
      <w:r w:rsidR="009E34F6">
        <w:rPr>
          <w:rFonts w:cs="Arial"/>
          <w:b/>
          <w:bCs/>
        </w:rPr>
        <w:t>201</w:t>
      </w:r>
      <w:r w:rsidR="00AF7455">
        <w:rPr>
          <w:rFonts w:cs="Arial"/>
          <w:b/>
          <w:bCs/>
        </w:rPr>
        <w:t>6</w:t>
      </w:r>
    </w:p>
    <w:p w:rsidR="005D4C4D" w:rsidRDefault="005D4C4D" w:rsidP="005D4C4D">
      <w:pP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p>
    <w:p w:rsidR="005D4C4D" w:rsidRDefault="005D4C4D" w:rsidP="005D4C4D">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1D1A03" w:rsidRDefault="005D4C4D" w:rsidP="005D4C4D">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sidR="001D1A03">
        <w:rPr>
          <w:rFonts w:cs="Arial"/>
        </w:rPr>
        <w:t xml:space="preserve">:  To </w:t>
      </w:r>
      <w:r w:rsidR="00527607">
        <w:rPr>
          <w:rFonts w:cs="Arial"/>
        </w:rPr>
        <w:t xml:space="preserve">update </w:t>
      </w:r>
      <w:r w:rsidR="00413E26">
        <w:rPr>
          <w:rFonts w:cs="Arial"/>
        </w:rPr>
        <w:t>M</w:t>
      </w:r>
      <w:r w:rsidR="00AE12E9">
        <w:rPr>
          <w:rFonts w:cs="Arial"/>
        </w:rPr>
        <w:t>embers</w:t>
      </w:r>
      <w:r w:rsidR="00527607">
        <w:rPr>
          <w:rFonts w:cs="Arial"/>
        </w:rPr>
        <w:t xml:space="preserve"> on </w:t>
      </w:r>
      <w:r w:rsidR="004331BA">
        <w:rPr>
          <w:rFonts w:cs="Arial"/>
        </w:rPr>
        <w:t>Finance, Risk and Performance</w:t>
      </w:r>
      <w:r w:rsidR="009E34F6">
        <w:rPr>
          <w:rFonts w:cs="Arial"/>
        </w:rPr>
        <w:t xml:space="preserve"> </w:t>
      </w:r>
      <w:bookmarkStart w:id="0" w:name="_GoBack"/>
      <w:bookmarkEnd w:id="0"/>
      <w:r w:rsidR="009E34F6">
        <w:rPr>
          <w:rFonts w:cs="Arial"/>
        </w:rPr>
        <w:t xml:space="preserve">as at the end of </w:t>
      </w:r>
      <w:r w:rsidR="00687F6F">
        <w:rPr>
          <w:rFonts w:cs="Arial"/>
        </w:rPr>
        <w:t>Q</w:t>
      </w:r>
      <w:r w:rsidR="009E34F6">
        <w:rPr>
          <w:rFonts w:cs="Arial"/>
        </w:rPr>
        <w:t xml:space="preserve">uarter </w:t>
      </w:r>
      <w:r w:rsidR="00035A9B">
        <w:rPr>
          <w:rFonts w:cs="Arial"/>
        </w:rPr>
        <w:t>1</w:t>
      </w:r>
      <w:r w:rsidR="009E34F6">
        <w:rPr>
          <w:rFonts w:cs="Arial"/>
        </w:rPr>
        <w:t>,</w:t>
      </w:r>
      <w:r w:rsidR="008346CA">
        <w:rPr>
          <w:rFonts w:cs="Arial"/>
        </w:rPr>
        <w:t xml:space="preserve"> 3</w:t>
      </w:r>
      <w:r w:rsidR="00035A9B">
        <w:rPr>
          <w:rFonts w:cs="Arial"/>
        </w:rPr>
        <w:t>0 June 2015</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5D4C4D">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AC4B4B">
        <w:rPr>
          <w:bCs w:val="0"/>
        </w:rPr>
        <w:t xml:space="preserve">: </w:t>
      </w:r>
      <w:r w:rsidR="00DE11B2">
        <w:rPr>
          <w:bCs w:val="0"/>
        </w:rPr>
        <w:t xml:space="preserve"> No</w:t>
      </w:r>
      <w:r>
        <w:rPr>
          <w:bCs w:val="0"/>
        </w:rPr>
        <w:t xml:space="preserve"> </w:t>
      </w:r>
    </w:p>
    <w:p w:rsidR="005D4C4D" w:rsidRDefault="005D4C4D" w:rsidP="005D4C4D">
      <w:pPr>
        <w:pBdr>
          <w:top w:val="single" w:sz="4" w:space="1" w:color="auto"/>
          <w:left w:val="single" w:sz="4" w:space="4" w:color="auto"/>
          <w:bottom w:val="single" w:sz="4" w:space="1" w:color="auto"/>
          <w:right w:val="single" w:sz="4" w:space="4" w:color="auto"/>
        </w:pBdr>
        <w:rPr>
          <w:rFonts w:cs="Arial"/>
        </w:rPr>
      </w:pPr>
    </w:p>
    <w:p w:rsidR="005D4C4D" w:rsidRDefault="005D4C4D" w:rsidP="005D4C4D">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AC4B4B">
        <w:rPr>
          <w:rFonts w:cs="Arial"/>
          <w:b/>
          <w:bCs/>
        </w:rPr>
        <w:t>Councillor Ed Turner</w:t>
      </w:r>
      <w:r w:rsidR="00F26603">
        <w:rPr>
          <w:rFonts w:cs="Arial"/>
          <w:b/>
          <w:bCs/>
        </w:rPr>
        <w:t>, Executive Board Member for Finance, Asset Management and Public Health</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5D4C4D" w:rsidRDefault="005D4C4D" w:rsidP="005D4C4D">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727ED1">
        <w:rPr>
          <w:rFonts w:cs="Arial"/>
          <w:b/>
          <w:bCs/>
        </w:rPr>
        <w:t>Efficient and effective Council</w:t>
      </w:r>
    </w:p>
    <w:p w:rsidR="005D4C4D" w:rsidRDefault="005D4C4D" w:rsidP="005D4C4D">
      <w:pPr>
        <w:pStyle w:val="Heading1"/>
        <w:pBdr>
          <w:top w:val="single" w:sz="4" w:space="1" w:color="auto"/>
          <w:left w:val="single" w:sz="4" w:space="4" w:color="auto"/>
          <w:bottom w:val="single" w:sz="4" w:space="1" w:color="auto"/>
          <w:right w:val="single" w:sz="4" w:space="4" w:color="auto"/>
        </w:pBdr>
      </w:pPr>
    </w:p>
    <w:p w:rsidR="00CE3DFC" w:rsidRDefault="000C5DA1" w:rsidP="005D4C4D">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3D700B">
        <w:rPr>
          <w:rFonts w:cs="Arial"/>
          <w:b/>
        </w:rPr>
        <w:t xml:space="preserve">That the </w:t>
      </w:r>
      <w:r w:rsidR="00AC4B4B">
        <w:rPr>
          <w:rFonts w:cs="Arial"/>
          <w:b/>
        </w:rPr>
        <w:t>City Executive Board</w:t>
      </w:r>
      <w:r w:rsidR="00F26603">
        <w:rPr>
          <w:rFonts w:cs="Arial"/>
          <w:b/>
        </w:rPr>
        <w:t xml:space="preserve"> resolves to</w:t>
      </w:r>
      <w:r w:rsidR="0069250F">
        <w:rPr>
          <w:rFonts w:cs="Arial"/>
          <w:b/>
        </w:rPr>
        <w:t>:</w:t>
      </w:r>
    </w:p>
    <w:p w:rsidR="00520C82" w:rsidRPr="00F26603" w:rsidRDefault="00520C82" w:rsidP="00F26603">
      <w:pPr>
        <w:pStyle w:val="ListParagraph"/>
        <w:numPr>
          <w:ilvl w:val="0"/>
          <w:numId w:val="24"/>
        </w:numPr>
        <w:pBdr>
          <w:top w:val="single" w:sz="4" w:space="1" w:color="auto"/>
          <w:left w:val="single" w:sz="4" w:space="4" w:color="auto"/>
          <w:bottom w:val="single" w:sz="4" w:space="1" w:color="auto"/>
          <w:right w:val="single" w:sz="4" w:space="4" w:color="auto"/>
        </w:pBdr>
        <w:tabs>
          <w:tab w:val="left" w:pos="426"/>
          <w:tab w:val="left" w:pos="3048"/>
        </w:tabs>
        <w:rPr>
          <w:rFonts w:cs="Arial"/>
        </w:rPr>
      </w:pPr>
      <w:r w:rsidRPr="00F26603">
        <w:rPr>
          <w:rFonts w:cs="Arial"/>
        </w:rPr>
        <w:t>Note the projected General Fund outturn of £0.</w:t>
      </w:r>
      <w:r w:rsidR="0085475D" w:rsidRPr="00F26603">
        <w:rPr>
          <w:rFonts w:cs="Arial"/>
        </w:rPr>
        <w:t>3</w:t>
      </w:r>
      <w:r w:rsidRPr="00F26603">
        <w:rPr>
          <w:rFonts w:cs="Arial"/>
        </w:rPr>
        <w:t xml:space="preserve">85 million which will be funded from corporate contingencies, the break-even position on the Housing Revenue Account and projected Capital underspend </w:t>
      </w:r>
      <w:r w:rsidR="00094258" w:rsidRPr="00F26603">
        <w:rPr>
          <w:rFonts w:cs="Arial"/>
        </w:rPr>
        <w:t xml:space="preserve">and slippage </w:t>
      </w:r>
      <w:r w:rsidRPr="00F26603">
        <w:rPr>
          <w:rFonts w:cs="Arial"/>
        </w:rPr>
        <w:t>of £0.921 million</w:t>
      </w:r>
    </w:p>
    <w:p w:rsidR="00520C82" w:rsidRPr="00F26603" w:rsidRDefault="00520C82" w:rsidP="00F26603">
      <w:pPr>
        <w:pStyle w:val="ListParagraph"/>
        <w:numPr>
          <w:ilvl w:val="0"/>
          <w:numId w:val="24"/>
        </w:numPr>
        <w:pBdr>
          <w:top w:val="single" w:sz="4" w:space="1" w:color="auto"/>
          <w:left w:val="single" w:sz="4" w:space="4" w:color="auto"/>
          <w:bottom w:val="single" w:sz="4" w:space="1" w:color="auto"/>
          <w:right w:val="single" w:sz="4" w:space="4" w:color="auto"/>
        </w:pBdr>
        <w:tabs>
          <w:tab w:val="left" w:pos="426"/>
          <w:tab w:val="left" w:pos="3048"/>
        </w:tabs>
        <w:rPr>
          <w:rFonts w:cs="Arial"/>
        </w:rPr>
      </w:pPr>
      <w:r w:rsidRPr="00F26603">
        <w:rPr>
          <w:rFonts w:cs="Arial"/>
        </w:rPr>
        <w:t xml:space="preserve">Note the performance and associated risk positions as </w:t>
      </w:r>
      <w:r w:rsidR="00240A01" w:rsidRPr="00F26603">
        <w:rPr>
          <w:rFonts w:cs="Arial"/>
        </w:rPr>
        <w:t>set out in paragraphs 11-15</w:t>
      </w:r>
      <w:r w:rsidRPr="00F26603">
        <w:rPr>
          <w:rFonts w:cs="Arial"/>
        </w:rPr>
        <w:t>;</w:t>
      </w:r>
    </w:p>
    <w:p w:rsidR="00520C82" w:rsidRPr="00F26603" w:rsidRDefault="00520C82" w:rsidP="00F26603">
      <w:pPr>
        <w:pStyle w:val="ListParagraph"/>
        <w:numPr>
          <w:ilvl w:val="0"/>
          <w:numId w:val="24"/>
        </w:numPr>
        <w:pBdr>
          <w:top w:val="single" w:sz="4" w:space="1" w:color="auto"/>
          <w:left w:val="single" w:sz="4" w:space="4" w:color="auto"/>
          <w:bottom w:val="single" w:sz="4" w:space="1" w:color="auto"/>
          <w:right w:val="single" w:sz="4" w:space="4" w:color="auto"/>
        </w:pBdr>
        <w:tabs>
          <w:tab w:val="left" w:pos="426"/>
          <w:tab w:val="left" w:pos="3048"/>
        </w:tabs>
        <w:rPr>
          <w:rFonts w:cs="Arial"/>
        </w:rPr>
      </w:pPr>
      <w:r w:rsidRPr="00F26603">
        <w:rPr>
          <w:rFonts w:cs="Arial"/>
        </w:rPr>
        <w:t>Approve a £0.300 million virement from the corporate policy contingency to the Culture service; and</w:t>
      </w:r>
    </w:p>
    <w:p w:rsidR="00520C82" w:rsidRPr="00F26603" w:rsidRDefault="00520C82" w:rsidP="00F26603">
      <w:pPr>
        <w:pStyle w:val="ListParagraph"/>
        <w:numPr>
          <w:ilvl w:val="0"/>
          <w:numId w:val="24"/>
        </w:numPr>
        <w:pBdr>
          <w:top w:val="single" w:sz="4" w:space="1" w:color="auto"/>
          <w:left w:val="single" w:sz="4" w:space="4" w:color="auto"/>
          <w:bottom w:val="single" w:sz="4" w:space="1" w:color="auto"/>
          <w:right w:val="single" w:sz="4" w:space="4" w:color="auto"/>
        </w:pBdr>
        <w:tabs>
          <w:tab w:val="left" w:pos="426"/>
          <w:tab w:val="left" w:pos="3048"/>
        </w:tabs>
        <w:rPr>
          <w:rFonts w:cs="Arial"/>
        </w:rPr>
      </w:pPr>
      <w:r w:rsidRPr="00F26603">
        <w:rPr>
          <w:rFonts w:cs="Arial"/>
        </w:rPr>
        <w:t>Recommend to Council that additional budget of £115,289 for parks works be included in the Capital Programme to be financed from external grant funding.</w:t>
      </w:r>
    </w:p>
    <w:p w:rsidR="00D04213" w:rsidRPr="00F26603" w:rsidRDefault="00D04213" w:rsidP="00F26603">
      <w:pPr>
        <w:pStyle w:val="ListParagraph"/>
        <w:numPr>
          <w:ilvl w:val="0"/>
          <w:numId w:val="24"/>
        </w:numPr>
        <w:pBdr>
          <w:top w:val="single" w:sz="4" w:space="1" w:color="auto"/>
          <w:left w:val="single" w:sz="4" w:space="4" w:color="auto"/>
          <w:bottom w:val="single" w:sz="4" w:space="1" w:color="auto"/>
          <w:right w:val="single" w:sz="4" w:space="4" w:color="auto"/>
        </w:pBdr>
        <w:tabs>
          <w:tab w:val="left" w:pos="426"/>
          <w:tab w:val="left" w:pos="3048"/>
        </w:tabs>
        <w:rPr>
          <w:rFonts w:cs="Arial"/>
        </w:rPr>
      </w:pPr>
      <w:r w:rsidRPr="00F26603">
        <w:rPr>
          <w:rFonts w:cs="Arial"/>
        </w:rPr>
        <w:t>Approve the recommendation to apply a temporary moratorium on General Fund and HRA capital expenditure in accordance with paragraphs 14 and 15</w:t>
      </w:r>
    </w:p>
    <w:p w:rsidR="00F26603" w:rsidRDefault="00F26603" w:rsidP="005D4C4D">
      <w:pPr>
        <w:rPr>
          <w:rFonts w:cs="Arial"/>
          <w:b/>
        </w:rPr>
      </w:pPr>
    </w:p>
    <w:p w:rsidR="00F26603" w:rsidRDefault="00F26603" w:rsidP="005D4C4D">
      <w:pPr>
        <w:rPr>
          <w:rFonts w:cs="Arial"/>
          <w:b/>
        </w:rPr>
      </w:pPr>
    </w:p>
    <w:p w:rsidR="007E1B08" w:rsidRPr="00AE0538" w:rsidRDefault="00AE0538" w:rsidP="005D4C4D">
      <w:pPr>
        <w:rPr>
          <w:rFonts w:cs="Arial"/>
          <w:b/>
        </w:rPr>
      </w:pPr>
      <w:r w:rsidRPr="00AE0538">
        <w:rPr>
          <w:rFonts w:cs="Arial"/>
          <w:b/>
        </w:rPr>
        <w:t>Appendices</w:t>
      </w:r>
    </w:p>
    <w:p w:rsidR="007E1B08" w:rsidRDefault="007E1B08" w:rsidP="005D4C4D">
      <w:pPr>
        <w:rPr>
          <w:rFonts w:cs="Arial"/>
        </w:rPr>
      </w:pPr>
    </w:p>
    <w:p w:rsidR="00EF7125" w:rsidRDefault="0069250F" w:rsidP="005D4C4D">
      <w:pPr>
        <w:rPr>
          <w:rFonts w:cs="Arial"/>
        </w:rPr>
      </w:pPr>
      <w:r w:rsidRPr="00335660">
        <w:rPr>
          <w:rFonts w:cs="Arial"/>
          <w:b/>
        </w:rPr>
        <w:t>Appendix A</w:t>
      </w:r>
      <w:r>
        <w:rPr>
          <w:rFonts w:cs="Arial"/>
        </w:rPr>
        <w:t xml:space="preserve"> </w:t>
      </w:r>
      <w:r w:rsidR="00240250">
        <w:rPr>
          <w:rFonts w:cs="Arial"/>
        </w:rPr>
        <w:t>–</w:t>
      </w:r>
      <w:r w:rsidR="00335660">
        <w:rPr>
          <w:rFonts w:cs="Arial"/>
        </w:rPr>
        <w:t xml:space="preserve"> Corporate </w:t>
      </w:r>
      <w:r w:rsidR="004331BA">
        <w:rPr>
          <w:rFonts w:cs="Arial"/>
        </w:rPr>
        <w:t>Integrated Report</w:t>
      </w:r>
      <w:r w:rsidR="00EF7125">
        <w:rPr>
          <w:rFonts w:cs="Arial"/>
        </w:rPr>
        <w:t xml:space="preserve"> </w:t>
      </w:r>
    </w:p>
    <w:p w:rsidR="00701D7D" w:rsidRDefault="00701D7D" w:rsidP="005D4C4D">
      <w:pPr>
        <w:rPr>
          <w:rFonts w:cs="Arial"/>
        </w:rPr>
      </w:pPr>
      <w:r w:rsidRPr="00335660">
        <w:rPr>
          <w:rFonts w:cs="Arial"/>
          <w:b/>
        </w:rPr>
        <w:t xml:space="preserve">Appendix </w:t>
      </w:r>
      <w:r w:rsidR="00335660" w:rsidRPr="00335660">
        <w:rPr>
          <w:rFonts w:cs="Arial"/>
          <w:b/>
        </w:rPr>
        <w:t>B</w:t>
      </w:r>
      <w:r>
        <w:rPr>
          <w:rFonts w:cs="Arial"/>
        </w:rPr>
        <w:t xml:space="preserve"> </w:t>
      </w:r>
      <w:r w:rsidR="00240250">
        <w:rPr>
          <w:rFonts w:cs="Arial"/>
        </w:rPr>
        <w:t>–</w:t>
      </w:r>
      <w:r w:rsidR="00335660">
        <w:rPr>
          <w:rFonts w:cs="Arial"/>
        </w:rPr>
        <w:t xml:space="preserve"> City </w:t>
      </w:r>
      <w:r w:rsidR="00D555A4">
        <w:rPr>
          <w:rFonts w:cs="Arial"/>
        </w:rPr>
        <w:t>Regeneration</w:t>
      </w:r>
      <w:r>
        <w:rPr>
          <w:rFonts w:cs="Arial"/>
        </w:rPr>
        <w:t xml:space="preserve"> </w:t>
      </w:r>
      <w:r w:rsidR="00335660">
        <w:rPr>
          <w:rFonts w:cs="Arial"/>
        </w:rPr>
        <w:t>Integrated R</w:t>
      </w:r>
      <w:r>
        <w:rPr>
          <w:rFonts w:cs="Arial"/>
        </w:rPr>
        <w:t>eport</w:t>
      </w:r>
    </w:p>
    <w:p w:rsidR="00701D7D" w:rsidRDefault="00335660" w:rsidP="005D4C4D">
      <w:pPr>
        <w:rPr>
          <w:rFonts w:cs="Arial"/>
        </w:rPr>
      </w:pPr>
      <w:r w:rsidRPr="00335660">
        <w:rPr>
          <w:rFonts w:cs="Arial"/>
          <w:b/>
        </w:rPr>
        <w:t>Appendix C</w:t>
      </w:r>
      <w:r w:rsidR="00D555A4">
        <w:rPr>
          <w:rFonts w:cs="Arial"/>
        </w:rPr>
        <w:t xml:space="preserve"> </w:t>
      </w:r>
      <w:r w:rsidR="00240250">
        <w:rPr>
          <w:rFonts w:cs="Arial"/>
        </w:rPr>
        <w:t>–</w:t>
      </w:r>
      <w:r w:rsidR="00D555A4">
        <w:rPr>
          <w:rFonts w:cs="Arial"/>
        </w:rPr>
        <w:t xml:space="preserve"> </w:t>
      </w:r>
      <w:r>
        <w:rPr>
          <w:rFonts w:cs="Arial"/>
        </w:rPr>
        <w:t>Organisational Development and</w:t>
      </w:r>
      <w:r w:rsidR="00D555A4">
        <w:rPr>
          <w:rFonts w:cs="Arial"/>
        </w:rPr>
        <w:t xml:space="preserve"> </w:t>
      </w:r>
      <w:r w:rsidR="00DF735B">
        <w:rPr>
          <w:rFonts w:cs="Arial"/>
        </w:rPr>
        <w:t>Services</w:t>
      </w:r>
      <w:r w:rsidR="00D555A4">
        <w:rPr>
          <w:rFonts w:cs="Arial"/>
        </w:rPr>
        <w:t xml:space="preserve"> </w:t>
      </w:r>
      <w:r w:rsidR="00DF735B">
        <w:rPr>
          <w:rFonts w:cs="Arial"/>
        </w:rPr>
        <w:t>I</w:t>
      </w:r>
      <w:r>
        <w:rPr>
          <w:rFonts w:cs="Arial"/>
        </w:rPr>
        <w:t>ntegrated Report</w:t>
      </w:r>
    </w:p>
    <w:p w:rsidR="000372FD" w:rsidRDefault="000372FD" w:rsidP="005D4C4D">
      <w:pPr>
        <w:rPr>
          <w:rFonts w:cs="Arial"/>
        </w:rPr>
      </w:pPr>
      <w:r w:rsidRPr="000372FD">
        <w:rPr>
          <w:rFonts w:cs="Arial"/>
          <w:b/>
        </w:rPr>
        <w:t xml:space="preserve">Appendix </w:t>
      </w:r>
      <w:r>
        <w:rPr>
          <w:rFonts w:cs="Arial"/>
          <w:b/>
        </w:rPr>
        <w:t>D</w:t>
      </w:r>
      <w:r w:rsidR="00D555A4">
        <w:rPr>
          <w:rFonts w:cs="Arial"/>
        </w:rPr>
        <w:t xml:space="preserve"> </w:t>
      </w:r>
      <w:r w:rsidR="00240250">
        <w:rPr>
          <w:rFonts w:cs="Arial"/>
        </w:rPr>
        <w:t>–</w:t>
      </w:r>
      <w:r w:rsidR="00D555A4">
        <w:rPr>
          <w:rFonts w:cs="Arial"/>
        </w:rPr>
        <w:t xml:space="preserve"> </w:t>
      </w:r>
      <w:r>
        <w:rPr>
          <w:rFonts w:cs="Arial"/>
        </w:rPr>
        <w:t>Community Services Integrated Report</w:t>
      </w:r>
    </w:p>
    <w:p w:rsidR="00B93406" w:rsidRDefault="00B93406" w:rsidP="005D4C4D">
      <w:pPr>
        <w:rPr>
          <w:rFonts w:cs="Arial"/>
        </w:rPr>
      </w:pPr>
      <w:r w:rsidRPr="009620A8">
        <w:rPr>
          <w:rFonts w:cs="Arial"/>
          <w:b/>
        </w:rPr>
        <w:t>Appendix E</w:t>
      </w:r>
      <w:r>
        <w:rPr>
          <w:rFonts w:cs="Arial"/>
        </w:rPr>
        <w:t xml:space="preserve"> – </w:t>
      </w:r>
      <w:r w:rsidR="009620A8">
        <w:rPr>
          <w:rFonts w:cs="Arial"/>
        </w:rPr>
        <w:t xml:space="preserve">Assistant </w:t>
      </w:r>
      <w:r>
        <w:rPr>
          <w:rFonts w:cs="Arial"/>
        </w:rPr>
        <w:t>Chief Executives Integrated Report</w:t>
      </w:r>
    </w:p>
    <w:p w:rsidR="00335660" w:rsidRDefault="000372FD" w:rsidP="005D4C4D">
      <w:pPr>
        <w:rPr>
          <w:rFonts w:cs="Arial"/>
        </w:rPr>
      </w:pPr>
      <w:r>
        <w:rPr>
          <w:rFonts w:cs="Arial"/>
          <w:b/>
        </w:rPr>
        <w:t xml:space="preserve">Appendix </w:t>
      </w:r>
      <w:r w:rsidR="00B93406">
        <w:rPr>
          <w:rFonts w:cs="Arial"/>
          <w:b/>
        </w:rPr>
        <w:t>F</w:t>
      </w:r>
      <w:r w:rsidR="00335660" w:rsidRPr="00335660">
        <w:rPr>
          <w:rFonts w:cs="Arial"/>
          <w:b/>
        </w:rPr>
        <w:t>1</w:t>
      </w:r>
      <w:r w:rsidR="00335660">
        <w:rPr>
          <w:rFonts w:cs="Arial"/>
        </w:rPr>
        <w:t xml:space="preserve"> – General Fund </w:t>
      </w:r>
      <w:r w:rsidR="005C4131">
        <w:rPr>
          <w:rFonts w:cs="Arial"/>
        </w:rPr>
        <w:t xml:space="preserve">June </w:t>
      </w:r>
      <w:r w:rsidR="005905C2">
        <w:rPr>
          <w:rFonts w:cs="Arial"/>
        </w:rPr>
        <w:t xml:space="preserve">Forecast </w:t>
      </w:r>
      <w:r w:rsidR="00335660">
        <w:rPr>
          <w:rFonts w:cs="Arial"/>
        </w:rPr>
        <w:t>Outturn</w:t>
      </w:r>
    </w:p>
    <w:p w:rsidR="00335660" w:rsidRDefault="000372FD" w:rsidP="005D4C4D">
      <w:pPr>
        <w:rPr>
          <w:rFonts w:cs="Arial"/>
        </w:rPr>
      </w:pPr>
      <w:r>
        <w:rPr>
          <w:rFonts w:cs="Arial"/>
          <w:b/>
        </w:rPr>
        <w:t xml:space="preserve">Appendix </w:t>
      </w:r>
      <w:r w:rsidR="00B93406">
        <w:rPr>
          <w:rFonts w:cs="Arial"/>
          <w:b/>
        </w:rPr>
        <w:t>F</w:t>
      </w:r>
      <w:r w:rsidR="00335660" w:rsidRPr="00335660">
        <w:rPr>
          <w:rFonts w:cs="Arial"/>
          <w:b/>
        </w:rPr>
        <w:t>2</w:t>
      </w:r>
      <w:r w:rsidR="00335660">
        <w:rPr>
          <w:rFonts w:cs="Arial"/>
        </w:rPr>
        <w:t xml:space="preserve"> – Capital Programme </w:t>
      </w:r>
      <w:r w:rsidR="005C4131">
        <w:rPr>
          <w:rFonts w:cs="Arial"/>
        </w:rPr>
        <w:t>June</w:t>
      </w:r>
      <w:r w:rsidR="005905C2">
        <w:rPr>
          <w:rFonts w:cs="Arial"/>
        </w:rPr>
        <w:t xml:space="preserve"> Forecast </w:t>
      </w:r>
      <w:r w:rsidR="00335660">
        <w:rPr>
          <w:rFonts w:cs="Arial"/>
        </w:rPr>
        <w:t>Outturn</w:t>
      </w:r>
    </w:p>
    <w:p w:rsidR="00335660" w:rsidRDefault="000372FD" w:rsidP="005D4C4D">
      <w:pPr>
        <w:rPr>
          <w:rFonts w:cs="Arial"/>
        </w:rPr>
      </w:pPr>
      <w:r>
        <w:rPr>
          <w:rFonts w:cs="Arial"/>
          <w:b/>
        </w:rPr>
        <w:t xml:space="preserve">Appendix </w:t>
      </w:r>
      <w:r w:rsidR="00B93406">
        <w:rPr>
          <w:rFonts w:cs="Arial"/>
          <w:b/>
        </w:rPr>
        <w:t>F</w:t>
      </w:r>
      <w:r w:rsidR="00335660" w:rsidRPr="00335660">
        <w:rPr>
          <w:rFonts w:cs="Arial"/>
          <w:b/>
        </w:rPr>
        <w:t>3</w:t>
      </w:r>
      <w:r w:rsidR="00335660">
        <w:rPr>
          <w:rFonts w:cs="Arial"/>
        </w:rPr>
        <w:t xml:space="preserve"> – HRA </w:t>
      </w:r>
      <w:r w:rsidR="00F920EE">
        <w:rPr>
          <w:rFonts w:cs="Arial"/>
        </w:rPr>
        <w:t>June</w:t>
      </w:r>
      <w:r w:rsidR="005905C2">
        <w:rPr>
          <w:rFonts w:cs="Arial"/>
        </w:rPr>
        <w:t xml:space="preserve"> Forecast </w:t>
      </w:r>
      <w:r w:rsidR="00335660">
        <w:rPr>
          <w:rFonts w:cs="Arial"/>
        </w:rPr>
        <w:t>Outturn</w:t>
      </w:r>
    </w:p>
    <w:p w:rsidR="002D3856" w:rsidRDefault="002D3856" w:rsidP="002D3856">
      <w:pPr>
        <w:rPr>
          <w:rFonts w:cs="Arial"/>
        </w:rPr>
      </w:pPr>
    </w:p>
    <w:p w:rsidR="00AE0538" w:rsidRDefault="00AE0538" w:rsidP="002D3856">
      <w:pPr>
        <w:rPr>
          <w:rFonts w:cs="Arial"/>
          <w:b/>
        </w:rPr>
      </w:pPr>
      <w:r>
        <w:rPr>
          <w:rFonts w:cs="Arial"/>
          <w:b/>
        </w:rPr>
        <w:t>Executive Summary</w:t>
      </w:r>
    </w:p>
    <w:p w:rsidR="00AE0538" w:rsidRDefault="00AE0538" w:rsidP="002D3856">
      <w:pPr>
        <w:rPr>
          <w:rFonts w:cs="Arial"/>
        </w:rPr>
      </w:pPr>
    </w:p>
    <w:p w:rsidR="00AE0538" w:rsidRDefault="00AE0538" w:rsidP="00662A0F">
      <w:pPr>
        <w:numPr>
          <w:ilvl w:val="0"/>
          <w:numId w:val="1"/>
        </w:numPr>
        <w:ind w:left="426" w:hanging="426"/>
        <w:rPr>
          <w:rFonts w:cs="Arial"/>
        </w:rPr>
      </w:pPr>
      <w:r>
        <w:rPr>
          <w:rFonts w:cs="Arial"/>
        </w:rPr>
        <w:t xml:space="preserve">This report </w:t>
      </w:r>
      <w:r w:rsidR="00C05488">
        <w:rPr>
          <w:rFonts w:cs="Arial"/>
        </w:rPr>
        <w:t xml:space="preserve">sets out </w:t>
      </w:r>
      <w:r>
        <w:rPr>
          <w:rFonts w:cs="Arial"/>
        </w:rPr>
        <w:t xml:space="preserve">the </w:t>
      </w:r>
      <w:r w:rsidR="00C05488">
        <w:rPr>
          <w:rFonts w:cs="Arial"/>
        </w:rPr>
        <w:t xml:space="preserve">projected outturn position for </w:t>
      </w:r>
      <w:r>
        <w:rPr>
          <w:rFonts w:cs="Arial"/>
        </w:rPr>
        <w:t>financ</w:t>
      </w:r>
      <w:r w:rsidR="00C05488">
        <w:rPr>
          <w:rFonts w:cs="Arial"/>
        </w:rPr>
        <w:t>e</w:t>
      </w:r>
      <w:r>
        <w:rPr>
          <w:rFonts w:cs="Arial"/>
        </w:rPr>
        <w:t xml:space="preserve"> and performance</w:t>
      </w:r>
      <w:r w:rsidR="00C05488">
        <w:rPr>
          <w:rFonts w:cs="Arial"/>
        </w:rPr>
        <w:t xml:space="preserve"> for 2014/15 as at the end of </w:t>
      </w:r>
      <w:r w:rsidR="004828D3">
        <w:rPr>
          <w:rFonts w:cs="Arial"/>
        </w:rPr>
        <w:t xml:space="preserve">the </w:t>
      </w:r>
      <w:r w:rsidR="005A38B3">
        <w:rPr>
          <w:rFonts w:cs="Arial"/>
        </w:rPr>
        <w:t>first</w:t>
      </w:r>
      <w:r w:rsidR="00BE0411">
        <w:rPr>
          <w:rFonts w:cs="Arial"/>
        </w:rPr>
        <w:t xml:space="preserve"> </w:t>
      </w:r>
      <w:r w:rsidR="00C05488">
        <w:rPr>
          <w:rFonts w:cs="Arial"/>
        </w:rPr>
        <w:t>quarter,</w:t>
      </w:r>
      <w:r>
        <w:rPr>
          <w:rFonts w:cs="Arial"/>
        </w:rPr>
        <w:t xml:space="preserve"> </w:t>
      </w:r>
      <w:r w:rsidR="00C05488">
        <w:rPr>
          <w:rFonts w:cs="Arial"/>
        </w:rPr>
        <w:t xml:space="preserve">together with the </w:t>
      </w:r>
      <w:r>
        <w:rPr>
          <w:rFonts w:cs="Arial"/>
        </w:rPr>
        <w:t>risks faced.  A brief summary is as follows: -</w:t>
      </w:r>
    </w:p>
    <w:p w:rsidR="000C3F42" w:rsidRPr="00520C82" w:rsidRDefault="000C3F42" w:rsidP="00520C82">
      <w:pPr>
        <w:ind w:left="426"/>
        <w:rPr>
          <w:rFonts w:cs="Arial"/>
          <w:b/>
        </w:rPr>
      </w:pPr>
      <w:r w:rsidRPr="00520C82">
        <w:rPr>
          <w:rFonts w:cs="Arial"/>
          <w:b/>
        </w:rPr>
        <w:t>Finance</w:t>
      </w:r>
    </w:p>
    <w:p w:rsidR="008E5A73" w:rsidRPr="008E5A73" w:rsidRDefault="00A20074" w:rsidP="00F920EE">
      <w:pPr>
        <w:numPr>
          <w:ilvl w:val="0"/>
          <w:numId w:val="2"/>
        </w:numPr>
        <w:rPr>
          <w:rFonts w:cs="Arial"/>
        </w:rPr>
      </w:pPr>
      <w:r w:rsidRPr="008E5A73">
        <w:rPr>
          <w:rFonts w:cs="Arial"/>
          <w:b/>
        </w:rPr>
        <w:t>General Fund</w:t>
      </w:r>
      <w:r w:rsidRPr="008E5A73">
        <w:rPr>
          <w:rFonts w:cs="Arial"/>
        </w:rPr>
        <w:t xml:space="preserve"> – the </w:t>
      </w:r>
      <w:r w:rsidR="008E5A73" w:rsidRPr="008E5A73">
        <w:rPr>
          <w:rFonts w:cs="Arial"/>
        </w:rPr>
        <w:t xml:space="preserve">outturn position </w:t>
      </w:r>
      <w:r w:rsidR="008E5A73">
        <w:rPr>
          <w:rFonts w:cs="Arial"/>
        </w:rPr>
        <w:t>is estimated to be</w:t>
      </w:r>
      <w:r w:rsidR="008E5A73" w:rsidRPr="008E5A73">
        <w:rPr>
          <w:rFonts w:cs="Arial"/>
        </w:rPr>
        <w:t xml:space="preserve"> £</w:t>
      </w:r>
      <w:r w:rsidR="00F920EE">
        <w:rPr>
          <w:rFonts w:cs="Arial"/>
        </w:rPr>
        <w:t>0</w:t>
      </w:r>
      <w:r w:rsidR="00D30906">
        <w:rPr>
          <w:rFonts w:cs="Arial"/>
        </w:rPr>
        <w:t>.</w:t>
      </w:r>
      <w:r w:rsidR="00F260C7">
        <w:rPr>
          <w:rFonts w:cs="Arial"/>
        </w:rPr>
        <w:t>3</w:t>
      </w:r>
      <w:r w:rsidR="00986C1F">
        <w:rPr>
          <w:rFonts w:cs="Arial"/>
        </w:rPr>
        <w:t xml:space="preserve">85 </w:t>
      </w:r>
      <w:r w:rsidR="003D700B">
        <w:rPr>
          <w:rFonts w:cs="Arial"/>
        </w:rPr>
        <w:t>million</w:t>
      </w:r>
      <w:r w:rsidR="00106D28">
        <w:rPr>
          <w:rFonts w:cs="Arial"/>
        </w:rPr>
        <w:t xml:space="preserve"> </w:t>
      </w:r>
      <w:r w:rsidR="00402EA9">
        <w:rPr>
          <w:rFonts w:cs="Arial"/>
        </w:rPr>
        <w:t xml:space="preserve">over budget </w:t>
      </w:r>
      <w:r w:rsidR="00106D28">
        <w:rPr>
          <w:rFonts w:cs="Arial"/>
        </w:rPr>
        <w:t xml:space="preserve">which </w:t>
      </w:r>
      <w:r w:rsidR="00402EA9">
        <w:rPr>
          <w:rFonts w:cs="Arial"/>
        </w:rPr>
        <w:t xml:space="preserve">will </w:t>
      </w:r>
      <w:r w:rsidR="00106D28">
        <w:rPr>
          <w:rFonts w:cs="Arial"/>
        </w:rPr>
        <w:t>be funded from earmarked reserves</w:t>
      </w:r>
      <w:r w:rsidR="00212B06">
        <w:rPr>
          <w:rFonts w:cs="Arial"/>
        </w:rPr>
        <w:t xml:space="preserve">.  </w:t>
      </w:r>
      <w:r w:rsidR="001552CD">
        <w:rPr>
          <w:rFonts w:cs="Arial"/>
        </w:rPr>
        <w:t>The</w:t>
      </w:r>
      <w:r w:rsidR="00212B06">
        <w:rPr>
          <w:rFonts w:cs="Arial"/>
        </w:rPr>
        <w:t xml:space="preserve"> variance</w:t>
      </w:r>
      <w:r w:rsidR="00F260C7">
        <w:rPr>
          <w:rFonts w:cs="Arial"/>
        </w:rPr>
        <w:t xml:space="preserve">s are </w:t>
      </w:r>
      <w:r w:rsidR="00F920EE">
        <w:rPr>
          <w:rFonts w:cs="Arial"/>
        </w:rPr>
        <w:t xml:space="preserve">in Housing and Property </w:t>
      </w:r>
      <w:r w:rsidR="000F409C">
        <w:rPr>
          <w:rFonts w:cs="Arial"/>
        </w:rPr>
        <w:t xml:space="preserve">on </w:t>
      </w:r>
      <w:proofErr w:type="spellStart"/>
      <w:r w:rsidR="00B17A5F">
        <w:rPr>
          <w:rFonts w:cs="Arial"/>
        </w:rPr>
        <w:t>H</w:t>
      </w:r>
      <w:r w:rsidR="00F920EE">
        <w:rPr>
          <w:rFonts w:cs="Arial"/>
        </w:rPr>
        <w:t>omechoice</w:t>
      </w:r>
      <w:proofErr w:type="spellEnd"/>
      <w:r w:rsidR="00F920EE">
        <w:rPr>
          <w:rFonts w:cs="Arial"/>
        </w:rPr>
        <w:t xml:space="preserve"> payments</w:t>
      </w:r>
      <w:r w:rsidR="00F260C7">
        <w:rPr>
          <w:rFonts w:cs="Arial"/>
        </w:rPr>
        <w:t xml:space="preserve"> and Planning and Regulatory due to staff turnover</w:t>
      </w:r>
      <w:r w:rsidR="00BF345E">
        <w:rPr>
          <w:rFonts w:cs="Arial"/>
        </w:rPr>
        <w:t xml:space="preserve">.  </w:t>
      </w:r>
      <w:r w:rsidR="00212B06">
        <w:rPr>
          <w:rFonts w:cs="Arial"/>
        </w:rPr>
        <w:t>M</w:t>
      </w:r>
      <w:r w:rsidR="00D30906">
        <w:rPr>
          <w:rFonts w:cs="Arial"/>
        </w:rPr>
        <w:t xml:space="preserve">ore detail is available in Appendices A to </w:t>
      </w:r>
      <w:r w:rsidR="00F920EE">
        <w:rPr>
          <w:rFonts w:cs="Arial"/>
        </w:rPr>
        <w:t>F1</w:t>
      </w:r>
      <w:r w:rsidR="00D30906">
        <w:rPr>
          <w:rFonts w:cs="Arial"/>
        </w:rPr>
        <w:t>).</w:t>
      </w:r>
    </w:p>
    <w:p w:rsidR="00A20074" w:rsidRPr="008E5A73" w:rsidRDefault="00A20074" w:rsidP="008E5A73">
      <w:pPr>
        <w:numPr>
          <w:ilvl w:val="0"/>
          <w:numId w:val="2"/>
        </w:numPr>
        <w:rPr>
          <w:rFonts w:cs="Arial"/>
        </w:rPr>
      </w:pPr>
      <w:r w:rsidRPr="008E5A73">
        <w:rPr>
          <w:rFonts w:cs="Arial"/>
          <w:b/>
        </w:rPr>
        <w:t>Housing Revenue Account</w:t>
      </w:r>
      <w:r w:rsidRPr="008E5A73">
        <w:rPr>
          <w:rFonts w:cs="Arial"/>
        </w:rPr>
        <w:t xml:space="preserve"> – </w:t>
      </w:r>
      <w:r w:rsidR="00972FEF" w:rsidRPr="008E5A73">
        <w:rPr>
          <w:rFonts w:cs="Arial"/>
        </w:rPr>
        <w:t xml:space="preserve">the </w:t>
      </w:r>
      <w:r w:rsidR="002B1B9E" w:rsidRPr="008E5A73">
        <w:rPr>
          <w:rFonts w:cs="Arial"/>
        </w:rPr>
        <w:t xml:space="preserve">HRA </w:t>
      </w:r>
      <w:r w:rsidR="00C40556" w:rsidRPr="008E5A73">
        <w:rPr>
          <w:rFonts w:cs="Arial"/>
        </w:rPr>
        <w:t xml:space="preserve">is </w:t>
      </w:r>
      <w:r w:rsidR="008E5A73">
        <w:rPr>
          <w:rFonts w:cs="Arial"/>
        </w:rPr>
        <w:t xml:space="preserve">projected to </w:t>
      </w:r>
      <w:r w:rsidR="00F920EE">
        <w:rPr>
          <w:rFonts w:cs="Arial"/>
        </w:rPr>
        <w:t>spend to</w:t>
      </w:r>
      <w:r w:rsidR="008E5A73" w:rsidRPr="008E5A73">
        <w:rPr>
          <w:rFonts w:cs="Arial"/>
        </w:rPr>
        <w:t xml:space="preserve"> the latest budget</w:t>
      </w:r>
      <w:r w:rsidR="002461BE" w:rsidRPr="002461BE">
        <w:rPr>
          <w:rFonts w:cs="Arial"/>
          <w:bCs/>
        </w:rPr>
        <w:t>.</w:t>
      </w:r>
      <w:r w:rsidR="00D30906">
        <w:rPr>
          <w:rFonts w:cs="Arial"/>
        </w:rPr>
        <w:t xml:space="preserve"> </w:t>
      </w:r>
      <w:r w:rsidR="002461BE">
        <w:rPr>
          <w:rFonts w:cs="Arial"/>
        </w:rPr>
        <w:t xml:space="preserve"> M</w:t>
      </w:r>
      <w:r w:rsidR="00D30906">
        <w:rPr>
          <w:rFonts w:cs="Arial"/>
        </w:rPr>
        <w:t xml:space="preserve">ore detail is available in Appendices B and </w:t>
      </w:r>
      <w:r w:rsidR="00F920EE">
        <w:rPr>
          <w:rFonts w:cs="Arial"/>
        </w:rPr>
        <w:t>F</w:t>
      </w:r>
      <w:r w:rsidR="00D30906">
        <w:rPr>
          <w:rFonts w:cs="Arial"/>
        </w:rPr>
        <w:t>3</w:t>
      </w:r>
      <w:r w:rsidR="008E5A73" w:rsidRPr="008E5A73">
        <w:rPr>
          <w:rFonts w:cs="Arial"/>
        </w:rPr>
        <w:t>.</w:t>
      </w:r>
    </w:p>
    <w:p w:rsidR="000C3F42" w:rsidRDefault="00A20074" w:rsidP="000C3F42">
      <w:pPr>
        <w:numPr>
          <w:ilvl w:val="0"/>
          <w:numId w:val="2"/>
        </w:numPr>
        <w:rPr>
          <w:rFonts w:cs="Arial"/>
        </w:rPr>
      </w:pPr>
      <w:r w:rsidRPr="008E5A73">
        <w:rPr>
          <w:rFonts w:cs="Arial"/>
          <w:b/>
        </w:rPr>
        <w:t>Capital Programme</w:t>
      </w:r>
      <w:r w:rsidRPr="008E5A73">
        <w:rPr>
          <w:rFonts w:cs="Arial"/>
        </w:rPr>
        <w:t xml:space="preserve"> –</w:t>
      </w:r>
      <w:r w:rsidR="00E542C4" w:rsidRPr="008E5A73">
        <w:rPr>
          <w:rFonts w:cs="Arial"/>
        </w:rPr>
        <w:t xml:space="preserve"> </w:t>
      </w:r>
      <w:r w:rsidR="008E5A73">
        <w:rPr>
          <w:rFonts w:cs="Arial"/>
        </w:rPr>
        <w:t xml:space="preserve">the </w:t>
      </w:r>
      <w:r w:rsidR="008E5A73" w:rsidRPr="008E5A73">
        <w:rPr>
          <w:rFonts w:cs="Arial"/>
        </w:rPr>
        <w:t>c</w:t>
      </w:r>
      <w:r w:rsidR="004735DB">
        <w:rPr>
          <w:rFonts w:cs="Arial"/>
        </w:rPr>
        <w:t>apital outturn position shows a</w:t>
      </w:r>
      <w:r w:rsidR="008E5A73" w:rsidRPr="008E5A73">
        <w:rPr>
          <w:rFonts w:cs="Arial"/>
        </w:rPr>
        <w:t xml:space="preserve"> </w:t>
      </w:r>
      <w:r w:rsidR="00E04FE9" w:rsidRPr="00E04FE9">
        <w:rPr>
          <w:rFonts w:cs="Arial"/>
        </w:rPr>
        <w:t xml:space="preserve">net forecast </w:t>
      </w:r>
      <w:r w:rsidR="00DE6018">
        <w:rPr>
          <w:rFonts w:cs="Arial"/>
        </w:rPr>
        <w:t xml:space="preserve">variance </w:t>
      </w:r>
      <w:r w:rsidR="00E04FE9" w:rsidRPr="00E04FE9">
        <w:rPr>
          <w:rFonts w:cs="Arial"/>
        </w:rPr>
        <w:t xml:space="preserve">against the latest budget </w:t>
      </w:r>
      <w:r w:rsidR="00356672">
        <w:rPr>
          <w:rFonts w:cs="Arial"/>
        </w:rPr>
        <w:t xml:space="preserve">of </w:t>
      </w:r>
      <w:r w:rsidR="00E04FE9" w:rsidRPr="00E04FE9">
        <w:rPr>
          <w:rFonts w:cs="Arial"/>
        </w:rPr>
        <w:t>£</w:t>
      </w:r>
      <w:r w:rsidR="00F920EE">
        <w:rPr>
          <w:rFonts w:cs="Arial"/>
        </w:rPr>
        <w:t>0</w:t>
      </w:r>
      <w:r w:rsidR="00E04FE9" w:rsidRPr="00E04FE9">
        <w:rPr>
          <w:rFonts w:cs="Arial"/>
        </w:rPr>
        <w:t>.</w:t>
      </w:r>
      <w:r w:rsidR="00F745A2">
        <w:rPr>
          <w:rFonts w:cs="Arial"/>
        </w:rPr>
        <w:t xml:space="preserve">921 </w:t>
      </w:r>
      <w:r w:rsidR="008E5A73" w:rsidRPr="008E5A73">
        <w:rPr>
          <w:rFonts w:cs="Arial"/>
        </w:rPr>
        <w:t>million</w:t>
      </w:r>
      <w:r w:rsidR="00701296">
        <w:rPr>
          <w:rFonts w:cs="Arial"/>
        </w:rPr>
        <w:t>.  M</w:t>
      </w:r>
      <w:r w:rsidR="00D30906">
        <w:rPr>
          <w:rFonts w:cs="Arial"/>
        </w:rPr>
        <w:t>ore det</w:t>
      </w:r>
      <w:r w:rsidR="00701296">
        <w:rPr>
          <w:rFonts w:cs="Arial"/>
        </w:rPr>
        <w:t>ail is available in Appendi</w:t>
      </w:r>
      <w:r w:rsidR="00F920EE">
        <w:rPr>
          <w:rFonts w:cs="Arial"/>
        </w:rPr>
        <w:t>ces A and F</w:t>
      </w:r>
      <w:r w:rsidR="00701296">
        <w:rPr>
          <w:rFonts w:cs="Arial"/>
        </w:rPr>
        <w:t>3</w:t>
      </w:r>
      <w:r w:rsidR="008E5A73" w:rsidRPr="008E5A73">
        <w:rPr>
          <w:rFonts w:cs="Arial"/>
        </w:rPr>
        <w:t>.</w:t>
      </w:r>
    </w:p>
    <w:p w:rsidR="000C3F42" w:rsidRPr="000C3F42" w:rsidRDefault="000C3F42" w:rsidP="00520C82">
      <w:pPr>
        <w:rPr>
          <w:rFonts w:cs="Arial"/>
        </w:rPr>
      </w:pPr>
    </w:p>
    <w:p w:rsidR="00714894" w:rsidRDefault="00A20074" w:rsidP="00520C82">
      <w:pPr>
        <w:ind w:left="426"/>
        <w:rPr>
          <w:rFonts w:cs="Arial"/>
        </w:rPr>
      </w:pPr>
      <w:r w:rsidRPr="004D034A">
        <w:rPr>
          <w:rFonts w:cs="Arial"/>
          <w:b/>
        </w:rPr>
        <w:t>Performance</w:t>
      </w:r>
      <w:r w:rsidRPr="004D034A">
        <w:rPr>
          <w:rFonts w:cs="Arial"/>
        </w:rPr>
        <w:t xml:space="preserve"> –</w:t>
      </w:r>
      <w:r w:rsidR="00083E8E">
        <w:rPr>
          <w:rFonts w:cs="Arial"/>
        </w:rPr>
        <w:t xml:space="preserve"> </w:t>
      </w:r>
      <w:r w:rsidR="00C94258" w:rsidRPr="004D034A">
        <w:rPr>
          <w:rFonts w:cs="Arial"/>
        </w:rPr>
        <w:t>1</w:t>
      </w:r>
      <w:r w:rsidR="004D034A" w:rsidRPr="004D034A">
        <w:rPr>
          <w:rFonts w:cs="Arial"/>
        </w:rPr>
        <w:t>5</w:t>
      </w:r>
      <w:r w:rsidR="00C94258" w:rsidRPr="004D034A">
        <w:rPr>
          <w:rFonts w:cs="Arial"/>
        </w:rPr>
        <w:t xml:space="preserve"> (</w:t>
      </w:r>
      <w:r w:rsidR="004D034A" w:rsidRPr="004D034A">
        <w:rPr>
          <w:rFonts w:cs="Arial"/>
        </w:rPr>
        <w:t>79</w:t>
      </w:r>
      <w:r w:rsidR="00714894" w:rsidRPr="004D034A">
        <w:rPr>
          <w:rFonts w:cs="Arial"/>
        </w:rPr>
        <w:t xml:space="preserve">%) </w:t>
      </w:r>
      <w:r w:rsidR="004D034A" w:rsidRPr="004D034A">
        <w:rPr>
          <w:rFonts w:cs="Arial"/>
        </w:rPr>
        <w:t xml:space="preserve">performance targets are </w:t>
      </w:r>
      <w:r w:rsidR="00C94258" w:rsidRPr="004D034A">
        <w:rPr>
          <w:rFonts w:cs="Arial"/>
        </w:rPr>
        <w:t xml:space="preserve">being </w:t>
      </w:r>
      <w:r w:rsidR="00714894" w:rsidRPr="004D034A">
        <w:rPr>
          <w:rFonts w:cs="Arial"/>
        </w:rPr>
        <w:t>deliver</w:t>
      </w:r>
      <w:r w:rsidR="00C94258" w:rsidRPr="004D034A">
        <w:rPr>
          <w:rFonts w:cs="Arial"/>
        </w:rPr>
        <w:t>ed</w:t>
      </w:r>
      <w:r w:rsidR="00714894" w:rsidRPr="004D034A">
        <w:rPr>
          <w:rFonts w:cs="Arial"/>
        </w:rPr>
        <w:t xml:space="preserve"> as planned, </w:t>
      </w:r>
      <w:r w:rsidR="005D546F" w:rsidRPr="004D034A">
        <w:rPr>
          <w:rFonts w:cs="Arial"/>
        </w:rPr>
        <w:t>2</w:t>
      </w:r>
      <w:r w:rsidR="00714894" w:rsidRPr="004D034A">
        <w:rPr>
          <w:rFonts w:cs="Arial"/>
        </w:rPr>
        <w:t xml:space="preserve"> </w:t>
      </w:r>
      <w:r w:rsidR="00C94258" w:rsidRPr="004D034A">
        <w:rPr>
          <w:rFonts w:cs="Arial"/>
        </w:rPr>
        <w:t>(</w:t>
      </w:r>
      <w:r w:rsidR="005D546F" w:rsidRPr="004D034A">
        <w:rPr>
          <w:rFonts w:cs="Arial"/>
        </w:rPr>
        <w:t>1</w:t>
      </w:r>
      <w:r w:rsidR="004D034A" w:rsidRPr="004D034A">
        <w:rPr>
          <w:rFonts w:cs="Arial"/>
        </w:rPr>
        <w:t>1</w:t>
      </w:r>
      <w:r w:rsidR="00C94258" w:rsidRPr="004D034A">
        <w:rPr>
          <w:rFonts w:cs="Arial"/>
        </w:rPr>
        <w:t xml:space="preserve">%) </w:t>
      </w:r>
      <w:r w:rsidR="00697879">
        <w:rPr>
          <w:rFonts w:cs="Arial"/>
        </w:rPr>
        <w:t xml:space="preserve">are </w:t>
      </w:r>
      <w:r w:rsidR="00714894" w:rsidRPr="004D034A">
        <w:rPr>
          <w:rFonts w:cs="Arial"/>
        </w:rPr>
        <w:t xml:space="preserve">below target but within </w:t>
      </w:r>
      <w:r w:rsidR="00C94258" w:rsidRPr="004D034A">
        <w:rPr>
          <w:rFonts w:cs="Arial"/>
        </w:rPr>
        <w:t xml:space="preserve">acceptable tolerance limits and </w:t>
      </w:r>
      <w:r w:rsidR="004D034A" w:rsidRPr="004D034A">
        <w:rPr>
          <w:rFonts w:cs="Arial"/>
        </w:rPr>
        <w:t>2</w:t>
      </w:r>
      <w:r w:rsidR="00714894" w:rsidRPr="004D034A">
        <w:rPr>
          <w:rFonts w:cs="Arial"/>
        </w:rPr>
        <w:t xml:space="preserve"> </w:t>
      </w:r>
      <w:r w:rsidR="00C94258" w:rsidRPr="004D034A">
        <w:rPr>
          <w:rFonts w:cs="Arial"/>
        </w:rPr>
        <w:t>(</w:t>
      </w:r>
      <w:r w:rsidR="004D034A" w:rsidRPr="004D034A">
        <w:rPr>
          <w:rFonts w:cs="Arial"/>
        </w:rPr>
        <w:t>11</w:t>
      </w:r>
      <w:r w:rsidR="00C94258" w:rsidRPr="004D034A">
        <w:rPr>
          <w:rFonts w:cs="Arial"/>
        </w:rPr>
        <w:t>%)</w:t>
      </w:r>
      <w:r w:rsidR="00697879">
        <w:rPr>
          <w:rFonts w:cs="Arial"/>
        </w:rPr>
        <w:t xml:space="preserve"> are</w:t>
      </w:r>
      <w:r w:rsidR="00C94258" w:rsidRPr="004D034A">
        <w:rPr>
          <w:rFonts w:cs="Arial"/>
        </w:rPr>
        <w:t xml:space="preserve"> </w:t>
      </w:r>
      <w:r w:rsidR="00714894" w:rsidRPr="004D034A">
        <w:rPr>
          <w:rFonts w:cs="Arial"/>
        </w:rPr>
        <w:t>not meeting their target</w:t>
      </w:r>
      <w:r w:rsidR="00697879">
        <w:rPr>
          <w:rFonts w:cs="Arial"/>
        </w:rPr>
        <w:t xml:space="preserve">.  These </w:t>
      </w:r>
      <w:r w:rsidR="00701296" w:rsidRPr="004D034A">
        <w:rPr>
          <w:rFonts w:cs="Arial"/>
        </w:rPr>
        <w:t xml:space="preserve">are </w:t>
      </w:r>
      <w:r w:rsidR="00697879">
        <w:rPr>
          <w:rFonts w:cs="Arial"/>
        </w:rPr>
        <w:t>detailed</w:t>
      </w:r>
      <w:r w:rsidR="00701296" w:rsidRPr="004D034A">
        <w:rPr>
          <w:rFonts w:cs="Arial"/>
        </w:rPr>
        <w:t xml:space="preserve"> in paragraph </w:t>
      </w:r>
      <w:r w:rsidR="00BF345E" w:rsidRPr="004D034A">
        <w:rPr>
          <w:rFonts w:cs="Arial"/>
        </w:rPr>
        <w:t>1</w:t>
      </w:r>
      <w:r w:rsidR="005A38B3">
        <w:rPr>
          <w:rFonts w:cs="Arial"/>
        </w:rPr>
        <w:t>1</w:t>
      </w:r>
      <w:r w:rsidR="00701296" w:rsidRPr="004D034A">
        <w:rPr>
          <w:rFonts w:cs="Arial"/>
        </w:rPr>
        <w:t xml:space="preserve"> </w:t>
      </w:r>
      <w:r w:rsidR="00697879">
        <w:rPr>
          <w:rFonts w:cs="Arial"/>
        </w:rPr>
        <w:t xml:space="preserve">below </w:t>
      </w:r>
      <w:r w:rsidR="00701296" w:rsidRPr="004D034A">
        <w:rPr>
          <w:rFonts w:cs="Arial"/>
        </w:rPr>
        <w:t>and in Appendix A</w:t>
      </w:r>
      <w:r w:rsidR="00697879">
        <w:rPr>
          <w:rFonts w:cs="Arial"/>
        </w:rPr>
        <w:t xml:space="preserve"> attached</w:t>
      </w:r>
      <w:r w:rsidR="00714894" w:rsidRPr="004D034A">
        <w:rPr>
          <w:rFonts w:cs="Arial"/>
        </w:rPr>
        <w:t>.</w:t>
      </w:r>
    </w:p>
    <w:p w:rsidR="000C3F42" w:rsidRPr="004D034A" w:rsidRDefault="000C3F42" w:rsidP="00520C82">
      <w:pPr>
        <w:rPr>
          <w:rFonts w:cs="Arial"/>
        </w:rPr>
      </w:pPr>
    </w:p>
    <w:p w:rsidR="00583B45" w:rsidRDefault="00A20074" w:rsidP="00520C82">
      <w:pPr>
        <w:ind w:left="426"/>
        <w:rPr>
          <w:rFonts w:cs="Arial"/>
        </w:rPr>
      </w:pPr>
      <w:r w:rsidRPr="00C44636">
        <w:rPr>
          <w:rFonts w:cs="Arial"/>
          <w:b/>
        </w:rPr>
        <w:t xml:space="preserve">Risk Management </w:t>
      </w:r>
      <w:r w:rsidRPr="00BA1074">
        <w:rPr>
          <w:rFonts w:cs="Arial"/>
        </w:rPr>
        <w:t xml:space="preserve">– </w:t>
      </w:r>
      <w:r w:rsidRPr="003473B2">
        <w:rPr>
          <w:rFonts w:cs="Arial"/>
        </w:rPr>
        <w:t xml:space="preserve">there were </w:t>
      </w:r>
      <w:r w:rsidR="00C94258" w:rsidRPr="003473B2">
        <w:rPr>
          <w:rFonts w:cs="Arial"/>
        </w:rPr>
        <w:t xml:space="preserve">no </w:t>
      </w:r>
      <w:r w:rsidR="005D546F" w:rsidRPr="003473B2">
        <w:rPr>
          <w:rFonts w:cs="Arial"/>
        </w:rPr>
        <w:t xml:space="preserve">corporate </w:t>
      </w:r>
      <w:r w:rsidRPr="003473B2">
        <w:rPr>
          <w:rFonts w:cs="Arial"/>
        </w:rPr>
        <w:t xml:space="preserve">red risks </w:t>
      </w:r>
      <w:r w:rsidR="00701296" w:rsidRPr="003473B2">
        <w:rPr>
          <w:rFonts w:cs="Arial"/>
        </w:rPr>
        <w:t xml:space="preserve">and </w:t>
      </w:r>
      <w:r w:rsidR="00C44636" w:rsidRPr="003473B2">
        <w:rPr>
          <w:rFonts w:cs="Arial"/>
        </w:rPr>
        <w:t xml:space="preserve">4 </w:t>
      </w:r>
      <w:r w:rsidR="00701296" w:rsidRPr="003473B2">
        <w:rPr>
          <w:rFonts w:cs="Arial"/>
        </w:rPr>
        <w:t xml:space="preserve">amber risks </w:t>
      </w:r>
      <w:r w:rsidR="0049146A" w:rsidRPr="003473B2">
        <w:rPr>
          <w:rFonts w:cs="Arial"/>
        </w:rPr>
        <w:t xml:space="preserve">as </w:t>
      </w:r>
      <w:r w:rsidRPr="003473B2">
        <w:rPr>
          <w:rFonts w:cs="Arial"/>
        </w:rPr>
        <w:t xml:space="preserve">at </w:t>
      </w:r>
      <w:r w:rsidR="0049146A" w:rsidRPr="003473B2">
        <w:rPr>
          <w:rFonts w:cs="Arial"/>
        </w:rPr>
        <w:t>3</w:t>
      </w:r>
      <w:r w:rsidR="00C44636" w:rsidRPr="003473B2">
        <w:rPr>
          <w:rFonts w:cs="Arial"/>
        </w:rPr>
        <w:t>0 June 2015</w:t>
      </w:r>
      <w:r w:rsidR="005A38B3">
        <w:rPr>
          <w:rFonts w:cs="Arial"/>
        </w:rPr>
        <w:t>.  These</w:t>
      </w:r>
      <w:r w:rsidR="00701296" w:rsidRPr="003473B2">
        <w:rPr>
          <w:rFonts w:cs="Arial"/>
        </w:rPr>
        <w:t xml:space="preserve"> are listed in paragraph </w:t>
      </w:r>
      <w:r w:rsidR="00BF345E" w:rsidRPr="003473B2">
        <w:rPr>
          <w:rFonts w:cs="Arial"/>
        </w:rPr>
        <w:t>1</w:t>
      </w:r>
      <w:r w:rsidR="00E32A3E">
        <w:rPr>
          <w:rFonts w:cs="Arial"/>
        </w:rPr>
        <w:t>3</w:t>
      </w:r>
      <w:r w:rsidR="00701296" w:rsidRPr="003473B2">
        <w:rPr>
          <w:rFonts w:cs="Arial"/>
        </w:rPr>
        <w:t xml:space="preserve"> and Appendix A</w:t>
      </w:r>
      <w:r w:rsidR="009B2610" w:rsidRPr="003473B2">
        <w:rPr>
          <w:rFonts w:cs="Arial"/>
        </w:rPr>
        <w:t>.</w:t>
      </w:r>
      <w:r w:rsidR="00520C82">
        <w:rPr>
          <w:rFonts w:cs="Arial"/>
        </w:rPr>
        <w:t xml:space="preserve">  </w:t>
      </w:r>
    </w:p>
    <w:p w:rsidR="00583B45" w:rsidRDefault="00583B45" w:rsidP="00520C82">
      <w:pPr>
        <w:ind w:left="426"/>
        <w:rPr>
          <w:rFonts w:cs="Arial"/>
        </w:rPr>
      </w:pPr>
    </w:p>
    <w:p w:rsidR="00A20074" w:rsidRPr="00C44636" w:rsidRDefault="00E32A3E" w:rsidP="00520C82">
      <w:pPr>
        <w:ind w:left="426"/>
        <w:rPr>
          <w:rFonts w:cs="Arial"/>
        </w:rPr>
      </w:pPr>
      <w:r>
        <w:rPr>
          <w:rFonts w:cs="Arial"/>
        </w:rPr>
        <w:t>Following the Chancellor’ budget Statement in July, there is a new</w:t>
      </w:r>
      <w:r w:rsidR="00520C82">
        <w:rPr>
          <w:rFonts w:cs="Arial"/>
        </w:rPr>
        <w:t xml:space="preserve"> red corporate risk </w:t>
      </w:r>
      <w:r w:rsidR="000F409C">
        <w:rPr>
          <w:rFonts w:cs="Arial"/>
        </w:rPr>
        <w:t>which</w:t>
      </w:r>
      <w:r>
        <w:rPr>
          <w:rFonts w:cs="Arial"/>
        </w:rPr>
        <w:t xml:space="preserve"> </w:t>
      </w:r>
      <w:r w:rsidR="00520C82">
        <w:rPr>
          <w:rFonts w:cs="Arial"/>
        </w:rPr>
        <w:t xml:space="preserve">is detailed at paragraph </w:t>
      </w:r>
      <w:r w:rsidR="00E60EA3">
        <w:rPr>
          <w:rFonts w:cs="Arial"/>
        </w:rPr>
        <w:t>1</w:t>
      </w:r>
      <w:r w:rsidR="000F409C">
        <w:rPr>
          <w:rFonts w:cs="Arial"/>
        </w:rPr>
        <w:t>4</w:t>
      </w:r>
      <w:r>
        <w:rPr>
          <w:rFonts w:cs="Arial"/>
        </w:rPr>
        <w:t xml:space="preserve"> below</w:t>
      </w:r>
      <w:r w:rsidR="00E60EA3">
        <w:rPr>
          <w:rFonts w:cs="Arial"/>
        </w:rPr>
        <w:t>.</w:t>
      </w:r>
    </w:p>
    <w:p w:rsidR="00A20074" w:rsidRDefault="00A20074" w:rsidP="00A65250">
      <w:pPr>
        <w:rPr>
          <w:rFonts w:cs="Arial"/>
        </w:rPr>
      </w:pPr>
    </w:p>
    <w:p w:rsidR="00EF7125" w:rsidRDefault="004331BA" w:rsidP="002D3856">
      <w:pPr>
        <w:rPr>
          <w:rFonts w:cs="Arial"/>
        </w:rPr>
      </w:pPr>
      <w:r w:rsidRPr="004331BA">
        <w:rPr>
          <w:rFonts w:cs="Arial"/>
          <w:b/>
        </w:rPr>
        <w:t>Background</w:t>
      </w:r>
    </w:p>
    <w:p w:rsidR="004331BA" w:rsidRDefault="004331BA" w:rsidP="004331BA">
      <w:pPr>
        <w:rPr>
          <w:rFonts w:cs="Arial"/>
        </w:rPr>
      </w:pPr>
    </w:p>
    <w:p w:rsidR="004331BA" w:rsidRDefault="004735DB" w:rsidP="00662A0F">
      <w:pPr>
        <w:numPr>
          <w:ilvl w:val="0"/>
          <w:numId w:val="1"/>
        </w:numPr>
        <w:ind w:left="426" w:hanging="426"/>
        <w:rPr>
          <w:rFonts w:cs="Arial"/>
        </w:rPr>
      </w:pPr>
      <w:r>
        <w:rPr>
          <w:rFonts w:cs="Arial"/>
        </w:rPr>
        <w:t>Finance, Performance and Risk</w:t>
      </w:r>
      <w:r w:rsidR="00855B96">
        <w:rPr>
          <w:rFonts w:cs="Arial"/>
        </w:rPr>
        <w:t xml:space="preserve"> information</w:t>
      </w:r>
      <w:r w:rsidR="00A65250">
        <w:rPr>
          <w:rFonts w:cs="Arial"/>
        </w:rPr>
        <w:t xml:space="preserve"> </w:t>
      </w:r>
      <w:r w:rsidR="002E7245">
        <w:rPr>
          <w:rFonts w:cs="Arial"/>
        </w:rPr>
        <w:t>is</w:t>
      </w:r>
      <w:r w:rsidR="00A65250">
        <w:rPr>
          <w:rFonts w:cs="Arial"/>
        </w:rPr>
        <w:t xml:space="preserve"> reported in an integrated format to </w:t>
      </w:r>
      <w:r w:rsidR="000226F8">
        <w:rPr>
          <w:rFonts w:cs="Arial"/>
        </w:rPr>
        <w:t xml:space="preserve">the </w:t>
      </w:r>
      <w:r w:rsidR="00A65250">
        <w:rPr>
          <w:rFonts w:cs="Arial"/>
        </w:rPr>
        <w:t xml:space="preserve">City Executive Board </w:t>
      </w:r>
      <w:r w:rsidR="009D3FFE">
        <w:rPr>
          <w:rFonts w:cs="Arial"/>
        </w:rPr>
        <w:t>on a quarterly basis.</w:t>
      </w:r>
    </w:p>
    <w:p w:rsidR="00A65250" w:rsidRDefault="00A65250" w:rsidP="00A65250">
      <w:pPr>
        <w:ind w:left="426"/>
        <w:rPr>
          <w:rFonts w:cs="Arial"/>
        </w:rPr>
      </w:pPr>
    </w:p>
    <w:p w:rsidR="00A65250" w:rsidRDefault="004735DB" w:rsidP="00662A0F">
      <w:pPr>
        <w:numPr>
          <w:ilvl w:val="0"/>
          <w:numId w:val="1"/>
        </w:numPr>
        <w:ind w:left="426" w:hanging="426"/>
        <w:rPr>
          <w:rFonts w:cs="Arial"/>
        </w:rPr>
      </w:pPr>
      <w:r>
        <w:rPr>
          <w:rFonts w:cs="Arial"/>
        </w:rPr>
        <w:t>R</w:t>
      </w:r>
      <w:r w:rsidR="00A65250">
        <w:rPr>
          <w:rFonts w:cs="Arial"/>
        </w:rPr>
        <w:t xml:space="preserve">eports </w:t>
      </w:r>
      <w:r w:rsidR="009D3FFE">
        <w:rPr>
          <w:rFonts w:cs="Arial"/>
        </w:rPr>
        <w:t>as at the 3</w:t>
      </w:r>
      <w:r w:rsidR="00F920EE">
        <w:rPr>
          <w:rFonts w:cs="Arial"/>
        </w:rPr>
        <w:t>0 June 2015</w:t>
      </w:r>
      <w:r w:rsidR="00A65250">
        <w:rPr>
          <w:rFonts w:cs="Arial"/>
        </w:rPr>
        <w:t xml:space="preserve"> are attached at Appendices A to </w:t>
      </w:r>
      <w:r w:rsidR="00F920EE">
        <w:rPr>
          <w:rFonts w:cs="Arial"/>
        </w:rPr>
        <w:t>F</w:t>
      </w:r>
      <w:r w:rsidR="00A65250">
        <w:rPr>
          <w:rFonts w:cs="Arial"/>
        </w:rPr>
        <w:t xml:space="preserve">.  The reports </w:t>
      </w:r>
      <w:r w:rsidR="00855B96">
        <w:rPr>
          <w:rFonts w:cs="Arial"/>
        </w:rPr>
        <w:t xml:space="preserve">use </w:t>
      </w:r>
      <w:r w:rsidR="007154CE">
        <w:rPr>
          <w:rFonts w:cs="Arial"/>
        </w:rPr>
        <w:t>a Red, Amber</w:t>
      </w:r>
      <w:r w:rsidR="00A65250">
        <w:rPr>
          <w:rFonts w:cs="Arial"/>
        </w:rPr>
        <w:t xml:space="preserve"> and Green </w:t>
      </w:r>
      <w:r w:rsidR="004828D3">
        <w:rPr>
          <w:rFonts w:cs="Arial"/>
        </w:rPr>
        <w:t xml:space="preserve">(RAG) </w:t>
      </w:r>
      <w:r w:rsidR="00A65250">
        <w:rPr>
          <w:rFonts w:cs="Arial"/>
        </w:rPr>
        <w:t>reporting methodology.</w:t>
      </w:r>
      <w:r w:rsidR="000226F8">
        <w:rPr>
          <w:rFonts w:cs="Arial"/>
        </w:rPr>
        <w:t xml:space="preserve"> </w:t>
      </w:r>
      <w:r w:rsidR="004828D3">
        <w:rPr>
          <w:rFonts w:cs="Arial"/>
        </w:rPr>
        <w:t>These reports are available to M</w:t>
      </w:r>
      <w:r w:rsidR="000226F8">
        <w:rPr>
          <w:rFonts w:cs="Arial"/>
        </w:rPr>
        <w:t>embers on line via the intranet</w:t>
      </w:r>
      <w:r w:rsidR="006F4BA2">
        <w:rPr>
          <w:rFonts w:cs="Arial"/>
        </w:rPr>
        <w:t>.</w:t>
      </w:r>
    </w:p>
    <w:p w:rsidR="00E21168" w:rsidRDefault="00E21168" w:rsidP="002E7245">
      <w:pPr>
        <w:pStyle w:val="ListParagraph"/>
        <w:ind w:left="426"/>
        <w:rPr>
          <w:rFonts w:cs="Arial"/>
        </w:rPr>
      </w:pPr>
    </w:p>
    <w:p w:rsidR="002E7245" w:rsidRPr="001F3FA7" w:rsidRDefault="002E7245" w:rsidP="002E7245">
      <w:pPr>
        <w:rPr>
          <w:rFonts w:cs="Arial"/>
          <w:b/>
        </w:rPr>
      </w:pPr>
      <w:r w:rsidRPr="001F3FA7">
        <w:rPr>
          <w:rFonts w:cs="Arial"/>
          <w:b/>
        </w:rPr>
        <w:t>Financial Dials</w:t>
      </w:r>
    </w:p>
    <w:p w:rsidR="002E7245" w:rsidRPr="00387A11" w:rsidRDefault="002E7245" w:rsidP="002E7245">
      <w:pPr>
        <w:rPr>
          <w:rFonts w:cs="Arial"/>
        </w:rPr>
      </w:pPr>
    </w:p>
    <w:p w:rsidR="002E7245" w:rsidRDefault="002E7245" w:rsidP="002E7245">
      <w:pPr>
        <w:numPr>
          <w:ilvl w:val="0"/>
          <w:numId w:val="1"/>
        </w:numPr>
        <w:tabs>
          <w:tab w:val="left" w:pos="426"/>
        </w:tabs>
        <w:ind w:left="426" w:hanging="426"/>
        <w:rPr>
          <w:rFonts w:eastAsia="Calibri" w:cs="Arial"/>
        </w:rPr>
      </w:pPr>
      <w:r w:rsidRPr="00DE5CF6">
        <w:rPr>
          <w:rFonts w:eastAsia="Calibri" w:cs="Arial"/>
        </w:rPr>
        <w:t>The following tolerances apply to the financial dials</w:t>
      </w:r>
      <w:r>
        <w:rPr>
          <w:rFonts w:eastAsia="Calibri" w:cs="Arial"/>
        </w:rPr>
        <w:t xml:space="preserve"> in the summary reports</w:t>
      </w:r>
      <w:r w:rsidRPr="00DE5CF6">
        <w:rPr>
          <w:rFonts w:eastAsia="Calibri" w:cs="Arial"/>
        </w:rPr>
        <w:t>:</w:t>
      </w:r>
    </w:p>
    <w:p w:rsidR="002E7245" w:rsidRPr="00DE5CF6" w:rsidRDefault="002E7245" w:rsidP="002E7245">
      <w:pPr>
        <w:tabs>
          <w:tab w:val="left" w:pos="426"/>
          <w:tab w:val="left" w:pos="1134"/>
          <w:tab w:val="left" w:pos="1560"/>
        </w:tabs>
        <w:ind w:left="426"/>
        <w:rPr>
          <w:rFonts w:eastAsia="Calibri" w:cs="Arial"/>
        </w:rPr>
      </w:pPr>
      <w:r w:rsidRPr="00DE5CF6">
        <w:rPr>
          <w:rFonts w:eastAsia="Calibri" w:cs="Arial"/>
          <w:b/>
        </w:rPr>
        <w:t>Green</w:t>
      </w:r>
      <w:r>
        <w:rPr>
          <w:rFonts w:eastAsia="Calibri" w:cs="Arial"/>
          <w:b/>
        </w:rPr>
        <w:t xml:space="preserve"> </w:t>
      </w:r>
      <w:r>
        <w:rPr>
          <w:rFonts w:eastAsia="Calibri" w:cs="Arial"/>
        </w:rPr>
        <w:t>–</w:t>
      </w:r>
      <w:r w:rsidRPr="00DE5CF6">
        <w:rPr>
          <w:rFonts w:eastAsia="Calibri" w:cs="Arial"/>
        </w:rPr>
        <w:t xml:space="preserve"> Forecast</w:t>
      </w:r>
      <w:r>
        <w:rPr>
          <w:rFonts w:eastAsia="Calibri" w:cs="Arial"/>
        </w:rPr>
        <w:t xml:space="preserve"> </w:t>
      </w:r>
      <w:r w:rsidRPr="00DE5CF6">
        <w:rPr>
          <w:rFonts w:eastAsia="Calibri" w:cs="Arial"/>
        </w:rPr>
        <w:t>outturn is within 100% of the latest approved budget</w:t>
      </w:r>
      <w:r>
        <w:rPr>
          <w:rFonts w:eastAsia="Calibri" w:cs="Arial"/>
        </w:rPr>
        <w:t>.</w:t>
      </w:r>
    </w:p>
    <w:p w:rsidR="002E7245" w:rsidRPr="00DE5CF6" w:rsidRDefault="002E7245" w:rsidP="002E7245">
      <w:pPr>
        <w:tabs>
          <w:tab w:val="left" w:pos="426"/>
          <w:tab w:val="left" w:pos="1134"/>
          <w:tab w:val="left" w:pos="1560"/>
        </w:tabs>
        <w:ind w:left="426"/>
        <w:rPr>
          <w:rFonts w:eastAsia="Calibri" w:cs="Arial"/>
        </w:rPr>
      </w:pPr>
      <w:r w:rsidRPr="00DE5CF6">
        <w:rPr>
          <w:rFonts w:eastAsia="Calibri" w:cs="Arial"/>
          <w:b/>
        </w:rPr>
        <w:t>Amber</w:t>
      </w:r>
      <w:r>
        <w:rPr>
          <w:rFonts w:eastAsia="Calibri" w:cs="Arial"/>
          <w:b/>
        </w:rPr>
        <w:t xml:space="preserve"> </w:t>
      </w:r>
      <w:r>
        <w:rPr>
          <w:rFonts w:eastAsia="Calibri" w:cs="Arial"/>
        </w:rPr>
        <w:t>–</w:t>
      </w:r>
      <w:r w:rsidRPr="00DE5CF6">
        <w:rPr>
          <w:rFonts w:eastAsia="Calibri" w:cs="Arial"/>
        </w:rPr>
        <w:t xml:space="preserve"> Forecast</w:t>
      </w:r>
      <w:r>
        <w:rPr>
          <w:rFonts w:eastAsia="Calibri" w:cs="Arial"/>
        </w:rPr>
        <w:t xml:space="preserve"> </w:t>
      </w:r>
      <w:r w:rsidRPr="00DE5CF6">
        <w:rPr>
          <w:rFonts w:eastAsia="Calibri" w:cs="Arial"/>
        </w:rPr>
        <w:t>outturn is within 100% - 105% of the latest approved budget</w:t>
      </w:r>
      <w:r>
        <w:rPr>
          <w:rFonts w:eastAsia="Calibri" w:cs="Arial"/>
        </w:rPr>
        <w:t>.</w:t>
      </w:r>
    </w:p>
    <w:p w:rsidR="002E7245" w:rsidRDefault="002E7245" w:rsidP="002E7245">
      <w:pPr>
        <w:tabs>
          <w:tab w:val="left" w:pos="426"/>
          <w:tab w:val="left" w:pos="1134"/>
          <w:tab w:val="left" w:pos="1560"/>
        </w:tabs>
        <w:ind w:left="426"/>
        <w:rPr>
          <w:rFonts w:eastAsia="Calibri" w:cs="Arial"/>
        </w:rPr>
      </w:pPr>
      <w:r w:rsidRPr="00DE5CF6">
        <w:rPr>
          <w:rFonts w:eastAsia="Calibri" w:cs="Arial"/>
          <w:b/>
        </w:rPr>
        <w:t>Red</w:t>
      </w:r>
      <w:r>
        <w:rPr>
          <w:rFonts w:eastAsia="Calibri" w:cs="Arial"/>
          <w:b/>
        </w:rPr>
        <w:t xml:space="preserve"> </w:t>
      </w:r>
      <w:r>
        <w:rPr>
          <w:rFonts w:eastAsia="Calibri" w:cs="Arial"/>
        </w:rPr>
        <w:t>–</w:t>
      </w:r>
      <w:r w:rsidRPr="00DE5CF6">
        <w:rPr>
          <w:rFonts w:eastAsia="Calibri" w:cs="Arial"/>
        </w:rPr>
        <w:t xml:space="preserve"> Forecast</w:t>
      </w:r>
      <w:r>
        <w:rPr>
          <w:rFonts w:eastAsia="Calibri" w:cs="Arial"/>
        </w:rPr>
        <w:t xml:space="preserve"> </w:t>
      </w:r>
      <w:r w:rsidRPr="00DE5CF6">
        <w:rPr>
          <w:rFonts w:eastAsia="Calibri" w:cs="Arial"/>
        </w:rPr>
        <w:t>outturn is over 105% of the latest approved budget.  Performance in this area is a potential concern and will be commented on within the report</w:t>
      </w:r>
      <w:r>
        <w:rPr>
          <w:rFonts w:eastAsia="Calibri" w:cs="Arial"/>
        </w:rPr>
        <w:t>.</w:t>
      </w:r>
    </w:p>
    <w:p w:rsidR="004828D3" w:rsidRDefault="004828D3" w:rsidP="008E5A73">
      <w:pPr>
        <w:rPr>
          <w:rFonts w:cs="Arial"/>
        </w:rPr>
      </w:pPr>
    </w:p>
    <w:p w:rsidR="005D6C51" w:rsidRPr="00D30906" w:rsidRDefault="00701296" w:rsidP="005D6C51">
      <w:pPr>
        <w:rPr>
          <w:rFonts w:cs="Arial"/>
          <w:b/>
        </w:rPr>
      </w:pPr>
      <w:r>
        <w:rPr>
          <w:rFonts w:cs="Arial"/>
          <w:b/>
        </w:rPr>
        <w:t>General Fund Revenue</w:t>
      </w:r>
    </w:p>
    <w:p w:rsidR="00E04FE9" w:rsidRDefault="00E04FE9" w:rsidP="00E04FE9">
      <w:pPr>
        <w:tabs>
          <w:tab w:val="left" w:pos="426"/>
        </w:tabs>
        <w:rPr>
          <w:rFonts w:eastAsia="Calibri" w:cs="Arial"/>
        </w:rPr>
      </w:pPr>
    </w:p>
    <w:p w:rsidR="005C4131" w:rsidRPr="00BD4A81" w:rsidRDefault="005C4131" w:rsidP="00BD4A81">
      <w:pPr>
        <w:tabs>
          <w:tab w:val="left" w:pos="426"/>
        </w:tabs>
        <w:ind w:left="426"/>
        <w:rPr>
          <w:rFonts w:eastAsia="Calibri" w:cs="Arial"/>
          <w:u w:val="single"/>
        </w:rPr>
      </w:pPr>
      <w:r w:rsidRPr="00BD4A81">
        <w:rPr>
          <w:rFonts w:eastAsia="Calibri" w:cs="Arial"/>
          <w:u w:val="single"/>
        </w:rPr>
        <w:t>Culture Budgets</w:t>
      </w:r>
    </w:p>
    <w:p w:rsidR="00172CC0" w:rsidRDefault="00172CC0" w:rsidP="00BD4A81">
      <w:pPr>
        <w:numPr>
          <w:ilvl w:val="0"/>
          <w:numId w:val="1"/>
        </w:numPr>
        <w:tabs>
          <w:tab w:val="left" w:pos="426"/>
        </w:tabs>
        <w:ind w:left="426" w:hanging="426"/>
        <w:rPr>
          <w:rFonts w:eastAsia="Calibri" w:cs="Arial"/>
        </w:rPr>
      </w:pPr>
      <w:r w:rsidRPr="00CB6B73">
        <w:rPr>
          <w:rFonts w:eastAsia="Calibri" w:cs="Arial"/>
        </w:rPr>
        <w:t xml:space="preserve">£0.300 million was </w:t>
      </w:r>
      <w:r w:rsidR="009176DB" w:rsidRPr="00CB6B73">
        <w:rPr>
          <w:rFonts w:eastAsia="Calibri" w:cs="Arial"/>
        </w:rPr>
        <w:t>included</w:t>
      </w:r>
      <w:r w:rsidRPr="00CB6B73">
        <w:rPr>
          <w:rFonts w:eastAsia="Calibri" w:cs="Arial"/>
        </w:rPr>
        <w:t xml:space="preserve"> in the 2014/15 budget as a corporate policy contingency.  During the 2015/16 budget setting process, it was agreed </w:t>
      </w:r>
      <w:r w:rsidR="009176DB" w:rsidRPr="00CB6B73">
        <w:rPr>
          <w:rFonts w:eastAsia="Calibri" w:cs="Arial"/>
        </w:rPr>
        <w:t xml:space="preserve">this </w:t>
      </w:r>
      <w:r w:rsidRPr="00CB6B73">
        <w:rPr>
          <w:rFonts w:eastAsia="Calibri" w:cs="Arial"/>
        </w:rPr>
        <w:t>was no</w:t>
      </w:r>
      <w:r w:rsidR="009176DB" w:rsidRPr="00CB6B73">
        <w:rPr>
          <w:rFonts w:eastAsia="Calibri" w:cs="Arial"/>
        </w:rPr>
        <w:t xml:space="preserve"> longer</w:t>
      </w:r>
      <w:r w:rsidRPr="00CB6B73">
        <w:rPr>
          <w:rFonts w:eastAsia="Calibri" w:cs="Arial"/>
        </w:rPr>
        <w:t xml:space="preserve"> required and </w:t>
      </w:r>
      <w:r w:rsidR="009176DB" w:rsidRPr="00CB6B73">
        <w:rPr>
          <w:rFonts w:eastAsia="Calibri" w:cs="Arial"/>
        </w:rPr>
        <w:t xml:space="preserve">should </w:t>
      </w:r>
      <w:r w:rsidRPr="00CB6B73">
        <w:rPr>
          <w:rFonts w:eastAsia="Calibri" w:cs="Arial"/>
        </w:rPr>
        <w:t>be removed f</w:t>
      </w:r>
      <w:r w:rsidR="009176DB" w:rsidRPr="00CB6B73">
        <w:rPr>
          <w:rFonts w:eastAsia="Calibri" w:cs="Arial"/>
        </w:rPr>
        <w:t>rom</w:t>
      </w:r>
      <w:r w:rsidRPr="00CB6B73">
        <w:rPr>
          <w:rFonts w:eastAsia="Calibri" w:cs="Arial"/>
        </w:rPr>
        <w:t xml:space="preserve"> the 2015/16 budget.  </w:t>
      </w:r>
      <w:r w:rsidR="00114E27" w:rsidRPr="00CB6B73">
        <w:rPr>
          <w:rFonts w:eastAsia="Calibri" w:cs="Arial"/>
        </w:rPr>
        <w:t>As reported verbally at the 13</w:t>
      </w:r>
      <w:r w:rsidR="00114E27" w:rsidRPr="00CB6B73">
        <w:rPr>
          <w:rFonts w:eastAsia="Calibri" w:cs="Arial"/>
          <w:vertAlign w:val="superscript"/>
        </w:rPr>
        <w:t>th</w:t>
      </w:r>
      <w:r w:rsidR="00114E27" w:rsidRPr="00CB6B73">
        <w:rPr>
          <w:rFonts w:eastAsia="Calibri" w:cs="Arial"/>
        </w:rPr>
        <w:t xml:space="preserve"> April 2015 Council Meeting, </w:t>
      </w:r>
      <w:r w:rsidR="00114E27">
        <w:rPr>
          <w:rFonts w:eastAsia="Calibri" w:cs="Arial"/>
        </w:rPr>
        <w:t>t</w:t>
      </w:r>
      <w:r w:rsidRPr="00CB6B73">
        <w:rPr>
          <w:rFonts w:eastAsia="Calibri" w:cs="Arial"/>
        </w:rPr>
        <w:t>h</w:t>
      </w:r>
      <w:r w:rsidR="009176DB" w:rsidRPr="00CB6B73">
        <w:rPr>
          <w:rFonts w:eastAsia="Calibri" w:cs="Arial"/>
        </w:rPr>
        <w:t>e</w:t>
      </w:r>
      <w:r w:rsidRPr="00CB6B73">
        <w:rPr>
          <w:rFonts w:eastAsia="Calibri" w:cs="Arial"/>
        </w:rPr>
        <w:t xml:space="preserve"> budget removal was unfortunately shown </w:t>
      </w:r>
      <w:r w:rsidR="00941E4F" w:rsidRPr="00CB6B73">
        <w:rPr>
          <w:rFonts w:eastAsia="Calibri" w:cs="Arial"/>
        </w:rPr>
        <w:t>in error against Culture i</w:t>
      </w:r>
      <w:r w:rsidRPr="00CB6B73">
        <w:rPr>
          <w:rFonts w:eastAsia="Calibri" w:cs="Arial"/>
        </w:rPr>
        <w:t>n Appendix 3 (page 65, line 21) to the Budget setting report rather than Policy; this then fed through to Appendices 1 (page 24) and 2 (page 26)</w:t>
      </w:r>
      <w:r w:rsidR="00CB6B73" w:rsidRPr="00CB6B73">
        <w:rPr>
          <w:rFonts w:eastAsia="Calibri" w:cs="Arial"/>
        </w:rPr>
        <w:t xml:space="preserve"> and </w:t>
      </w:r>
      <w:r w:rsidRPr="00172CC0">
        <w:rPr>
          <w:rFonts w:eastAsia="Calibri" w:cs="Arial"/>
        </w:rPr>
        <w:t xml:space="preserve">gave the impression that there was a reduction in the Council’s Culture </w:t>
      </w:r>
      <w:r>
        <w:rPr>
          <w:rFonts w:eastAsia="Calibri" w:cs="Arial"/>
        </w:rPr>
        <w:t xml:space="preserve">budget </w:t>
      </w:r>
      <w:r w:rsidRPr="00172CC0">
        <w:rPr>
          <w:rFonts w:eastAsia="Calibri" w:cs="Arial"/>
        </w:rPr>
        <w:t xml:space="preserve">which is not actually the case.  </w:t>
      </w:r>
    </w:p>
    <w:p w:rsidR="00172CC0" w:rsidRDefault="00172CC0" w:rsidP="00BD4A81">
      <w:pPr>
        <w:pStyle w:val="ListParagraph"/>
        <w:rPr>
          <w:rFonts w:eastAsia="Calibri" w:cs="Arial"/>
        </w:rPr>
      </w:pPr>
    </w:p>
    <w:p w:rsidR="00172CC0" w:rsidRDefault="00172CC0" w:rsidP="00BD4A81">
      <w:pPr>
        <w:numPr>
          <w:ilvl w:val="0"/>
          <w:numId w:val="1"/>
        </w:numPr>
        <w:tabs>
          <w:tab w:val="left" w:pos="426"/>
        </w:tabs>
        <w:ind w:left="426" w:hanging="426"/>
        <w:rPr>
          <w:rFonts w:eastAsia="Calibri" w:cs="Arial"/>
        </w:rPr>
      </w:pPr>
      <w:r w:rsidRPr="00172CC0">
        <w:rPr>
          <w:rFonts w:eastAsia="Calibri" w:cs="Arial"/>
        </w:rPr>
        <w:t xml:space="preserve">Approval is therefore sought to </w:t>
      </w:r>
      <w:proofErr w:type="spellStart"/>
      <w:r w:rsidRPr="00172CC0">
        <w:rPr>
          <w:rFonts w:eastAsia="Calibri" w:cs="Arial"/>
        </w:rPr>
        <w:t>vire</w:t>
      </w:r>
      <w:proofErr w:type="spellEnd"/>
      <w:r w:rsidRPr="00172CC0">
        <w:rPr>
          <w:rFonts w:eastAsia="Calibri" w:cs="Arial"/>
        </w:rPr>
        <w:t xml:space="preserve"> £0.300 million from </w:t>
      </w:r>
      <w:r>
        <w:rPr>
          <w:rFonts w:eastAsia="Calibri" w:cs="Arial"/>
        </w:rPr>
        <w:t>the corporate p</w:t>
      </w:r>
      <w:r w:rsidRPr="00172CC0">
        <w:rPr>
          <w:rFonts w:eastAsia="Calibri" w:cs="Arial"/>
        </w:rPr>
        <w:t xml:space="preserve">olicy </w:t>
      </w:r>
      <w:r>
        <w:rPr>
          <w:rFonts w:eastAsia="Calibri" w:cs="Arial"/>
        </w:rPr>
        <w:t xml:space="preserve">contingency </w:t>
      </w:r>
      <w:r w:rsidRPr="00172CC0">
        <w:rPr>
          <w:rFonts w:eastAsia="Calibri" w:cs="Arial"/>
        </w:rPr>
        <w:t>to Culture to correct the budget.</w:t>
      </w:r>
      <w:r w:rsidR="000C3F41">
        <w:rPr>
          <w:rFonts w:eastAsia="Calibri" w:cs="Arial"/>
        </w:rPr>
        <w:t xml:space="preserve">  There is no </w:t>
      </w:r>
      <w:r w:rsidR="00945E7B">
        <w:rPr>
          <w:rFonts w:eastAsia="Calibri" w:cs="Arial"/>
        </w:rPr>
        <w:t xml:space="preserve">overall </w:t>
      </w:r>
      <w:r w:rsidR="000C3F41">
        <w:rPr>
          <w:rFonts w:eastAsia="Calibri" w:cs="Arial"/>
        </w:rPr>
        <w:t>impact on the Council’</w:t>
      </w:r>
      <w:r w:rsidR="00777F68">
        <w:rPr>
          <w:rFonts w:eastAsia="Calibri" w:cs="Arial"/>
        </w:rPr>
        <w:t xml:space="preserve">s </w:t>
      </w:r>
      <w:r w:rsidR="00945E7B">
        <w:rPr>
          <w:rFonts w:eastAsia="Calibri" w:cs="Arial"/>
        </w:rPr>
        <w:t>budget</w:t>
      </w:r>
      <w:r w:rsidR="00777F68">
        <w:rPr>
          <w:rFonts w:eastAsia="Calibri" w:cs="Arial"/>
        </w:rPr>
        <w:t>.</w:t>
      </w:r>
    </w:p>
    <w:p w:rsidR="00BA1074" w:rsidRDefault="00BA1074" w:rsidP="003473B2">
      <w:pPr>
        <w:pStyle w:val="ListParagraph"/>
        <w:ind w:left="426"/>
        <w:rPr>
          <w:rFonts w:eastAsia="Calibri" w:cs="Arial"/>
        </w:rPr>
      </w:pPr>
    </w:p>
    <w:p w:rsidR="00BA1074" w:rsidRPr="00E60EA3" w:rsidRDefault="00BA1074" w:rsidP="003473B2">
      <w:pPr>
        <w:pStyle w:val="ListParagraph"/>
        <w:ind w:left="426"/>
        <w:rPr>
          <w:rFonts w:eastAsia="Calibri" w:cs="Arial"/>
          <w:u w:val="single"/>
        </w:rPr>
      </w:pPr>
      <w:r w:rsidRPr="00E60EA3">
        <w:rPr>
          <w:rFonts w:eastAsia="Calibri" w:cs="Arial"/>
          <w:u w:val="single"/>
        </w:rPr>
        <w:t xml:space="preserve">Planning and </w:t>
      </w:r>
      <w:r w:rsidR="00945E7B">
        <w:rPr>
          <w:rFonts w:eastAsia="Calibri" w:cs="Arial"/>
          <w:u w:val="single"/>
        </w:rPr>
        <w:t>R</w:t>
      </w:r>
      <w:r w:rsidRPr="00E60EA3">
        <w:rPr>
          <w:rFonts w:eastAsia="Calibri" w:cs="Arial"/>
          <w:u w:val="single"/>
        </w:rPr>
        <w:t>egulatory</w:t>
      </w:r>
    </w:p>
    <w:p w:rsidR="00BA1074" w:rsidRPr="00E60EA3" w:rsidRDefault="0085475D" w:rsidP="003473B2">
      <w:pPr>
        <w:numPr>
          <w:ilvl w:val="0"/>
          <w:numId w:val="1"/>
        </w:numPr>
        <w:tabs>
          <w:tab w:val="left" w:pos="426"/>
        </w:tabs>
        <w:ind w:left="426" w:hanging="426"/>
        <w:rPr>
          <w:rFonts w:eastAsia="Calibri" w:cs="Arial"/>
        </w:rPr>
      </w:pPr>
      <w:r>
        <w:rPr>
          <w:rFonts w:eastAsia="Calibri" w:cs="Arial"/>
        </w:rPr>
        <w:t>D</w:t>
      </w:r>
      <w:r w:rsidR="00A60507" w:rsidRPr="00E60EA3">
        <w:rPr>
          <w:rFonts w:eastAsia="Calibri" w:cs="Arial"/>
        </w:rPr>
        <w:t>ue to staff turnover additional cost</w:t>
      </w:r>
      <w:r>
        <w:rPr>
          <w:rFonts w:eastAsia="Calibri" w:cs="Arial"/>
        </w:rPr>
        <w:t xml:space="preserve"> pressures of </w:t>
      </w:r>
      <w:r w:rsidR="000F409C">
        <w:rPr>
          <w:rFonts w:eastAsia="Calibri" w:cs="Arial"/>
        </w:rPr>
        <w:t xml:space="preserve">approximately </w:t>
      </w:r>
      <w:r>
        <w:rPr>
          <w:rFonts w:eastAsia="Calibri" w:cs="Arial"/>
        </w:rPr>
        <w:t>£0.200 million</w:t>
      </w:r>
      <w:r w:rsidR="00A60507" w:rsidRPr="00E60EA3">
        <w:rPr>
          <w:rFonts w:eastAsia="Calibri" w:cs="Arial"/>
        </w:rPr>
        <w:t xml:space="preserve"> </w:t>
      </w:r>
      <w:r>
        <w:rPr>
          <w:rFonts w:eastAsia="Calibri" w:cs="Arial"/>
        </w:rPr>
        <w:t xml:space="preserve">are forecast </w:t>
      </w:r>
      <w:r w:rsidR="00A60507" w:rsidRPr="00E60EA3">
        <w:rPr>
          <w:rFonts w:eastAsia="Calibri" w:cs="Arial"/>
        </w:rPr>
        <w:t>in the short term.  Officers are currently working on options to resolve the position going forward.  The in-year pressure will be funded from the corporate contingency.</w:t>
      </w:r>
    </w:p>
    <w:p w:rsidR="007C63CC" w:rsidRDefault="007C63CC" w:rsidP="003473B2">
      <w:pPr>
        <w:tabs>
          <w:tab w:val="left" w:pos="426"/>
        </w:tabs>
        <w:ind w:left="720"/>
        <w:rPr>
          <w:rFonts w:eastAsia="Calibri" w:cs="Arial"/>
        </w:rPr>
      </w:pPr>
    </w:p>
    <w:p w:rsidR="00BA1074" w:rsidRPr="003473B2" w:rsidRDefault="00BA1074" w:rsidP="003473B2">
      <w:pPr>
        <w:tabs>
          <w:tab w:val="left" w:pos="426"/>
        </w:tabs>
        <w:ind w:left="426"/>
        <w:rPr>
          <w:rFonts w:eastAsia="Calibri" w:cs="Arial"/>
          <w:u w:val="single"/>
        </w:rPr>
      </w:pPr>
      <w:r w:rsidRPr="003473B2">
        <w:rPr>
          <w:rFonts w:eastAsia="Calibri" w:cs="Arial"/>
          <w:u w:val="single"/>
        </w:rPr>
        <w:t>Housing and Property</w:t>
      </w:r>
    </w:p>
    <w:p w:rsidR="00BA1074" w:rsidRDefault="007C63CC" w:rsidP="003473B2">
      <w:pPr>
        <w:numPr>
          <w:ilvl w:val="0"/>
          <w:numId w:val="1"/>
        </w:numPr>
        <w:tabs>
          <w:tab w:val="left" w:pos="426"/>
        </w:tabs>
        <w:ind w:left="426" w:hanging="426"/>
        <w:rPr>
          <w:rFonts w:eastAsia="Calibri" w:cs="Arial"/>
        </w:rPr>
      </w:pPr>
      <w:proofErr w:type="spellStart"/>
      <w:r w:rsidRPr="007C63CC">
        <w:rPr>
          <w:rFonts w:eastAsia="Calibri" w:cs="Arial"/>
        </w:rPr>
        <w:t>Homechoice</w:t>
      </w:r>
      <w:proofErr w:type="spellEnd"/>
      <w:r w:rsidRPr="007C63CC">
        <w:rPr>
          <w:rFonts w:eastAsia="Calibri" w:cs="Arial"/>
        </w:rPr>
        <w:t xml:space="preserve"> payments</w:t>
      </w:r>
      <w:r w:rsidR="009051BE">
        <w:rPr>
          <w:rFonts w:eastAsia="Calibri" w:cs="Arial"/>
        </w:rPr>
        <w:t xml:space="preserve"> used for homeless prevention</w:t>
      </w:r>
      <w:r w:rsidRPr="007C63CC">
        <w:rPr>
          <w:rFonts w:eastAsia="Calibri" w:cs="Arial"/>
        </w:rPr>
        <w:t xml:space="preserve"> are expected to exceed budget </w:t>
      </w:r>
      <w:r>
        <w:rPr>
          <w:rFonts w:eastAsia="Calibri" w:cs="Arial"/>
        </w:rPr>
        <w:t xml:space="preserve">by £0.185 million </w:t>
      </w:r>
      <w:r w:rsidR="00B17A5F">
        <w:rPr>
          <w:rFonts w:eastAsia="Calibri" w:cs="Arial"/>
        </w:rPr>
        <w:t xml:space="preserve">due to </w:t>
      </w:r>
      <w:proofErr w:type="spellStart"/>
      <w:r w:rsidR="009051BE">
        <w:rPr>
          <w:rFonts w:eastAsia="Calibri" w:cs="Arial"/>
        </w:rPr>
        <w:t>ongoing</w:t>
      </w:r>
      <w:proofErr w:type="spellEnd"/>
      <w:r w:rsidR="009051BE">
        <w:rPr>
          <w:rFonts w:eastAsia="Calibri" w:cs="Arial"/>
        </w:rPr>
        <w:t xml:space="preserve"> high demand</w:t>
      </w:r>
      <w:r w:rsidR="00877A3D">
        <w:rPr>
          <w:rFonts w:eastAsia="Calibri" w:cs="Arial"/>
        </w:rPr>
        <w:t>.</w:t>
      </w:r>
      <w:r w:rsidRPr="007C63CC">
        <w:rPr>
          <w:rFonts w:eastAsia="Calibri" w:cs="Arial"/>
        </w:rPr>
        <w:t xml:space="preserve"> </w:t>
      </w:r>
      <w:r>
        <w:rPr>
          <w:rFonts w:eastAsia="Calibri" w:cs="Arial"/>
        </w:rPr>
        <w:t xml:space="preserve"> </w:t>
      </w:r>
      <w:r w:rsidR="00877A3D">
        <w:rPr>
          <w:rFonts w:eastAsia="Calibri" w:cs="Arial"/>
        </w:rPr>
        <w:t xml:space="preserve">This will </w:t>
      </w:r>
      <w:r w:rsidRPr="007C63CC">
        <w:rPr>
          <w:rFonts w:eastAsia="Calibri" w:cs="Arial"/>
        </w:rPr>
        <w:t>be financed by drawing down funds from the Homelessness Reserve</w:t>
      </w:r>
      <w:r w:rsidR="00B17A5F">
        <w:rPr>
          <w:rFonts w:eastAsia="Calibri" w:cs="Arial"/>
        </w:rPr>
        <w:t xml:space="preserve"> which as at 31 March 2015 stood at £1 million</w:t>
      </w:r>
    </w:p>
    <w:p w:rsidR="00172CC0" w:rsidRDefault="00172CC0" w:rsidP="00172CC0">
      <w:pPr>
        <w:tabs>
          <w:tab w:val="left" w:pos="709"/>
        </w:tabs>
        <w:ind w:left="426"/>
        <w:rPr>
          <w:rFonts w:eastAsia="Calibri" w:cs="Arial"/>
        </w:rPr>
      </w:pPr>
    </w:p>
    <w:p w:rsidR="005C4131" w:rsidRPr="0025114E" w:rsidRDefault="005C4131" w:rsidP="005C4131">
      <w:pPr>
        <w:tabs>
          <w:tab w:val="left" w:pos="426"/>
        </w:tabs>
        <w:ind w:left="426"/>
        <w:rPr>
          <w:rFonts w:eastAsia="Calibri" w:cs="Arial"/>
          <w:u w:val="single"/>
        </w:rPr>
      </w:pPr>
      <w:r>
        <w:rPr>
          <w:rFonts w:eastAsia="Calibri" w:cs="Arial"/>
          <w:u w:val="single"/>
        </w:rPr>
        <w:t xml:space="preserve">Dry </w:t>
      </w:r>
      <w:proofErr w:type="spellStart"/>
      <w:r>
        <w:rPr>
          <w:rFonts w:eastAsia="Calibri" w:cs="Arial"/>
          <w:u w:val="single"/>
        </w:rPr>
        <w:t>Recyclate</w:t>
      </w:r>
      <w:proofErr w:type="spellEnd"/>
    </w:p>
    <w:p w:rsidR="005C4131" w:rsidRPr="00172CC0" w:rsidRDefault="005C4131" w:rsidP="00BD4A81">
      <w:pPr>
        <w:numPr>
          <w:ilvl w:val="0"/>
          <w:numId w:val="1"/>
        </w:numPr>
        <w:tabs>
          <w:tab w:val="left" w:pos="426"/>
        </w:tabs>
        <w:ind w:left="426" w:hanging="426"/>
        <w:rPr>
          <w:rFonts w:eastAsia="Calibri" w:cs="Arial"/>
        </w:rPr>
      </w:pPr>
      <w:r w:rsidRPr="005C4131">
        <w:rPr>
          <w:rFonts w:eastAsia="Calibri" w:cs="Arial"/>
        </w:rPr>
        <w:t xml:space="preserve">A budget pressure was identified in December 2014 in relation to the cost of disposal of dry </w:t>
      </w:r>
      <w:proofErr w:type="spellStart"/>
      <w:r w:rsidRPr="005C4131">
        <w:rPr>
          <w:rFonts w:eastAsia="Calibri" w:cs="Arial"/>
        </w:rPr>
        <w:t>recyclate</w:t>
      </w:r>
      <w:proofErr w:type="spellEnd"/>
      <w:r w:rsidRPr="005C4131">
        <w:rPr>
          <w:rFonts w:eastAsia="Calibri" w:cs="Arial"/>
        </w:rPr>
        <w:t xml:space="preserve">.  The financial impact for 2015-16 </w:t>
      </w:r>
      <w:r>
        <w:rPr>
          <w:rFonts w:eastAsia="Calibri" w:cs="Arial"/>
        </w:rPr>
        <w:t>is estimated at</w:t>
      </w:r>
      <w:r w:rsidRPr="005C4131">
        <w:rPr>
          <w:rFonts w:eastAsia="Calibri" w:cs="Arial"/>
        </w:rPr>
        <w:t xml:space="preserve"> £</w:t>
      </w:r>
      <w:r>
        <w:rPr>
          <w:rFonts w:eastAsia="Calibri" w:cs="Arial"/>
        </w:rPr>
        <w:t>0.</w:t>
      </w:r>
      <w:r w:rsidRPr="005C4131">
        <w:rPr>
          <w:rFonts w:eastAsia="Calibri" w:cs="Arial"/>
        </w:rPr>
        <w:t>480</w:t>
      </w:r>
      <w:r>
        <w:rPr>
          <w:rFonts w:eastAsia="Calibri" w:cs="Arial"/>
        </w:rPr>
        <w:t xml:space="preserve"> million for the second half of the year</w:t>
      </w:r>
      <w:r w:rsidR="007C63CC">
        <w:rPr>
          <w:rFonts w:eastAsia="Calibri" w:cs="Arial"/>
        </w:rPr>
        <w:t xml:space="preserve"> which the service is expecting to fully mitigate through additional income and savings </w:t>
      </w:r>
      <w:r w:rsidR="00DE6018">
        <w:rPr>
          <w:rFonts w:eastAsia="Calibri" w:cs="Arial"/>
        </w:rPr>
        <w:t>including on</w:t>
      </w:r>
      <w:r w:rsidR="007C63CC">
        <w:rPr>
          <w:rFonts w:eastAsia="Calibri" w:cs="Arial"/>
        </w:rPr>
        <w:t xml:space="preserve"> establishment costs</w:t>
      </w:r>
      <w:r w:rsidR="00493B65">
        <w:rPr>
          <w:rFonts w:eastAsia="Calibri" w:cs="Arial"/>
        </w:rPr>
        <w:t xml:space="preserve"> (indicated by the financial position on the year to date)</w:t>
      </w:r>
      <w:r>
        <w:rPr>
          <w:rFonts w:eastAsia="Calibri" w:cs="Arial"/>
        </w:rPr>
        <w:t xml:space="preserve">.  </w:t>
      </w:r>
      <w:r w:rsidRPr="005C4131">
        <w:rPr>
          <w:rFonts w:eastAsia="Calibri" w:cs="Arial"/>
        </w:rPr>
        <w:t xml:space="preserve">Council </w:t>
      </w:r>
      <w:r w:rsidR="00C95F06">
        <w:rPr>
          <w:rFonts w:eastAsia="Calibri" w:cs="Arial"/>
        </w:rPr>
        <w:t xml:space="preserve">officers are working up proposals </w:t>
      </w:r>
      <w:r w:rsidRPr="005C4131">
        <w:rPr>
          <w:rFonts w:eastAsia="Calibri" w:cs="Arial"/>
        </w:rPr>
        <w:t xml:space="preserve">to mitigate </w:t>
      </w:r>
      <w:r w:rsidR="00C95F06">
        <w:rPr>
          <w:rFonts w:eastAsia="Calibri" w:cs="Arial"/>
        </w:rPr>
        <w:t xml:space="preserve">the full year </w:t>
      </w:r>
      <w:r w:rsidR="00A905DF">
        <w:rPr>
          <w:rFonts w:eastAsia="Calibri" w:cs="Arial"/>
        </w:rPr>
        <w:t xml:space="preserve">cost in future </w:t>
      </w:r>
      <w:proofErr w:type="gramStart"/>
      <w:r w:rsidR="00A905DF">
        <w:rPr>
          <w:rFonts w:eastAsia="Calibri" w:cs="Arial"/>
        </w:rPr>
        <w:t>years</w:t>
      </w:r>
      <w:r w:rsidRPr="005C4131">
        <w:rPr>
          <w:rFonts w:eastAsia="Calibri" w:cs="Arial"/>
        </w:rPr>
        <w:t>,</w:t>
      </w:r>
      <w:proofErr w:type="gramEnd"/>
      <w:r w:rsidR="00A905DF">
        <w:rPr>
          <w:rFonts w:eastAsia="Calibri" w:cs="Arial"/>
        </w:rPr>
        <w:t xml:space="preserve"> these include</w:t>
      </w:r>
      <w:r w:rsidRPr="005C4131">
        <w:rPr>
          <w:rFonts w:eastAsia="Calibri" w:cs="Arial"/>
        </w:rPr>
        <w:t xml:space="preserve"> potentially bui</w:t>
      </w:r>
      <w:r>
        <w:rPr>
          <w:rFonts w:eastAsia="Calibri" w:cs="Arial"/>
        </w:rPr>
        <w:t xml:space="preserve">lding a dry </w:t>
      </w:r>
      <w:proofErr w:type="spellStart"/>
      <w:r>
        <w:rPr>
          <w:rFonts w:eastAsia="Calibri" w:cs="Arial"/>
        </w:rPr>
        <w:t>recyclate</w:t>
      </w:r>
      <w:proofErr w:type="spellEnd"/>
      <w:r>
        <w:rPr>
          <w:rFonts w:eastAsia="Calibri" w:cs="Arial"/>
        </w:rPr>
        <w:t xml:space="preserve"> facility</w:t>
      </w:r>
      <w:r w:rsidR="00A905DF">
        <w:rPr>
          <w:rFonts w:eastAsia="Calibri" w:cs="Arial"/>
        </w:rPr>
        <w:t>.  A</w:t>
      </w:r>
      <w:r w:rsidRPr="005C4131">
        <w:rPr>
          <w:rFonts w:eastAsia="Calibri" w:cs="Arial"/>
        </w:rPr>
        <w:t xml:space="preserve"> reserve </w:t>
      </w:r>
      <w:r>
        <w:rPr>
          <w:rFonts w:eastAsia="Calibri" w:cs="Arial"/>
        </w:rPr>
        <w:t>w</w:t>
      </w:r>
      <w:r w:rsidRPr="005C4131">
        <w:rPr>
          <w:rFonts w:eastAsia="Calibri" w:cs="Arial"/>
        </w:rPr>
        <w:t xml:space="preserve">as created </w:t>
      </w:r>
      <w:r w:rsidR="00A905DF">
        <w:rPr>
          <w:rFonts w:eastAsia="Calibri" w:cs="Arial"/>
        </w:rPr>
        <w:t xml:space="preserve">as </w:t>
      </w:r>
      <w:r>
        <w:rPr>
          <w:rFonts w:eastAsia="Calibri" w:cs="Arial"/>
        </w:rPr>
        <w:t xml:space="preserve">at the </w:t>
      </w:r>
      <w:r w:rsidR="00A905DF">
        <w:rPr>
          <w:rFonts w:eastAsia="Calibri" w:cs="Arial"/>
        </w:rPr>
        <w:t xml:space="preserve">31 March </w:t>
      </w:r>
      <w:r w:rsidR="00493B65">
        <w:rPr>
          <w:rFonts w:eastAsia="Calibri" w:cs="Arial"/>
        </w:rPr>
        <w:t>2015</w:t>
      </w:r>
      <w:r w:rsidR="00A905DF">
        <w:rPr>
          <w:rFonts w:eastAsia="Calibri" w:cs="Arial"/>
        </w:rPr>
        <w:t xml:space="preserve"> to facilitate this</w:t>
      </w:r>
      <w:r>
        <w:rPr>
          <w:rFonts w:eastAsia="Calibri" w:cs="Arial"/>
        </w:rPr>
        <w:t>.</w:t>
      </w:r>
      <w:r w:rsidRPr="005C4131">
        <w:rPr>
          <w:rFonts w:eastAsia="Calibri" w:cs="Arial"/>
        </w:rPr>
        <w:t xml:space="preserve">  </w:t>
      </w:r>
      <w:r w:rsidR="00B17A5F">
        <w:rPr>
          <w:rFonts w:eastAsia="Calibri" w:cs="Arial"/>
        </w:rPr>
        <w:t xml:space="preserve">A more detailed report </w:t>
      </w:r>
      <w:r w:rsidR="00EE693B">
        <w:rPr>
          <w:rFonts w:eastAsia="Calibri" w:cs="Arial"/>
        </w:rPr>
        <w:t xml:space="preserve">on options </w:t>
      </w:r>
      <w:r w:rsidR="00B17A5F">
        <w:rPr>
          <w:rFonts w:eastAsia="Calibri" w:cs="Arial"/>
        </w:rPr>
        <w:t xml:space="preserve">will be submitted to </w:t>
      </w:r>
      <w:r w:rsidR="00EE693B">
        <w:rPr>
          <w:rFonts w:eastAsia="Calibri" w:cs="Arial"/>
        </w:rPr>
        <w:t xml:space="preserve">the </w:t>
      </w:r>
      <w:r w:rsidR="00B17A5F">
        <w:rPr>
          <w:rFonts w:eastAsia="Calibri" w:cs="Arial"/>
        </w:rPr>
        <w:t>City Executive Board</w:t>
      </w:r>
      <w:r w:rsidR="009B5A72">
        <w:rPr>
          <w:rFonts w:eastAsia="Calibri" w:cs="Arial"/>
        </w:rPr>
        <w:t xml:space="preserve"> in </w:t>
      </w:r>
      <w:r w:rsidR="00DE6018">
        <w:rPr>
          <w:rFonts w:eastAsia="Calibri" w:cs="Arial"/>
        </w:rPr>
        <w:t>due course.</w:t>
      </w:r>
    </w:p>
    <w:p w:rsidR="005313BC" w:rsidRPr="00172CC0" w:rsidRDefault="005313BC" w:rsidP="00172CC0">
      <w:pPr>
        <w:tabs>
          <w:tab w:val="left" w:pos="709"/>
        </w:tabs>
        <w:ind w:left="426"/>
        <w:rPr>
          <w:rFonts w:eastAsia="Calibri" w:cs="Arial"/>
        </w:rPr>
      </w:pPr>
    </w:p>
    <w:p w:rsidR="00172CC0" w:rsidRPr="00D30906" w:rsidRDefault="00172CC0" w:rsidP="00172CC0">
      <w:pPr>
        <w:rPr>
          <w:rFonts w:cs="Arial"/>
          <w:b/>
        </w:rPr>
      </w:pPr>
      <w:r>
        <w:rPr>
          <w:rFonts w:cs="Arial"/>
          <w:b/>
        </w:rPr>
        <w:t>General Fund Capital</w:t>
      </w:r>
    </w:p>
    <w:p w:rsidR="00172CC0" w:rsidRDefault="00172CC0" w:rsidP="00172CC0">
      <w:pPr>
        <w:tabs>
          <w:tab w:val="left" w:pos="426"/>
        </w:tabs>
        <w:rPr>
          <w:rFonts w:eastAsia="Calibri" w:cs="Arial"/>
        </w:rPr>
      </w:pPr>
    </w:p>
    <w:p w:rsidR="00377013" w:rsidRPr="0072591D" w:rsidRDefault="00ED14DF" w:rsidP="00BD4A81">
      <w:pPr>
        <w:numPr>
          <w:ilvl w:val="0"/>
          <w:numId w:val="1"/>
        </w:numPr>
        <w:tabs>
          <w:tab w:val="left" w:pos="426"/>
        </w:tabs>
        <w:ind w:left="426" w:hanging="426"/>
        <w:rPr>
          <w:rFonts w:eastAsia="Calibri" w:cs="Arial"/>
        </w:rPr>
      </w:pPr>
      <w:r>
        <w:rPr>
          <w:rFonts w:eastAsia="Calibri" w:cs="Arial"/>
        </w:rPr>
        <w:t xml:space="preserve">Additional grant funding has been awarded for parks works </w:t>
      </w:r>
      <w:r w:rsidR="00AF5A15" w:rsidRPr="0072591D">
        <w:rPr>
          <w:rFonts w:eastAsia="Calibri" w:cs="Arial"/>
        </w:rPr>
        <w:t>as follows:</w:t>
      </w:r>
    </w:p>
    <w:p w:rsidR="00AF5A15" w:rsidRPr="0072591D" w:rsidRDefault="00AF5A15" w:rsidP="0072591D">
      <w:pPr>
        <w:pStyle w:val="ListParagraph"/>
        <w:numPr>
          <w:ilvl w:val="0"/>
          <w:numId w:val="20"/>
        </w:numPr>
        <w:tabs>
          <w:tab w:val="left" w:pos="426"/>
        </w:tabs>
        <w:rPr>
          <w:rFonts w:eastAsia="Calibri" w:cs="Arial"/>
        </w:rPr>
      </w:pPr>
      <w:r w:rsidRPr="00AF5A15">
        <w:rPr>
          <w:rFonts w:eastAsia="Calibri" w:cs="Arial"/>
        </w:rPr>
        <w:t>Holloway works and Blackbird Leys Park regeneration of £0.055 million</w:t>
      </w:r>
      <w:r w:rsidRPr="0072591D">
        <w:rPr>
          <w:rFonts w:eastAsia="Calibri" w:cs="Arial"/>
        </w:rPr>
        <w:t>;</w:t>
      </w:r>
    </w:p>
    <w:p w:rsidR="00BF2C68" w:rsidRPr="0072591D" w:rsidRDefault="00AF5A15" w:rsidP="0072591D">
      <w:pPr>
        <w:pStyle w:val="ListParagraph"/>
        <w:numPr>
          <w:ilvl w:val="0"/>
          <w:numId w:val="20"/>
        </w:numPr>
        <w:tabs>
          <w:tab w:val="left" w:pos="426"/>
        </w:tabs>
        <w:rPr>
          <w:rFonts w:eastAsia="Calibri" w:cs="Arial"/>
        </w:rPr>
      </w:pPr>
      <w:r w:rsidRPr="0072591D">
        <w:rPr>
          <w:rFonts w:eastAsia="Calibri" w:cs="Arial"/>
        </w:rPr>
        <w:t xml:space="preserve">£0.060 million for works at </w:t>
      </w:r>
      <w:proofErr w:type="spellStart"/>
      <w:r w:rsidRPr="0072591D">
        <w:rPr>
          <w:rFonts w:eastAsia="Calibri" w:cs="Arial"/>
        </w:rPr>
        <w:t>Spindleberry</w:t>
      </w:r>
      <w:proofErr w:type="spellEnd"/>
      <w:r w:rsidRPr="0072591D">
        <w:rPr>
          <w:rFonts w:eastAsia="Calibri" w:cs="Arial"/>
        </w:rPr>
        <w:t xml:space="preserve"> Park.</w:t>
      </w:r>
    </w:p>
    <w:p w:rsidR="00885D91" w:rsidRPr="00283734" w:rsidRDefault="00AF5A15" w:rsidP="00BF2C68">
      <w:pPr>
        <w:tabs>
          <w:tab w:val="left" w:pos="426"/>
        </w:tabs>
        <w:ind w:left="426"/>
        <w:rPr>
          <w:rFonts w:eastAsia="Calibri" w:cs="Arial"/>
        </w:rPr>
      </w:pPr>
      <w:r>
        <w:rPr>
          <w:rFonts w:eastAsia="Calibri" w:cs="Arial"/>
        </w:rPr>
        <w:t xml:space="preserve">The </w:t>
      </w:r>
      <w:r w:rsidRPr="00AF5A15">
        <w:rPr>
          <w:rFonts w:eastAsia="Calibri" w:cs="Arial"/>
        </w:rPr>
        <w:t xml:space="preserve">Parks works </w:t>
      </w:r>
      <w:r>
        <w:rPr>
          <w:rFonts w:eastAsia="Calibri" w:cs="Arial"/>
        </w:rPr>
        <w:t xml:space="preserve">capital scheme is </w:t>
      </w:r>
      <w:r w:rsidRPr="00AF5A15">
        <w:rPr>
          <w:rFonts w:eastAsia="Calibri" w:cs="Arial"/>
        </w:rPr>
        <w:t xml:space="preserve">an amalgamation of several </w:t>
      </w:r>
      <w:r>
        <w:rPr>
          <w:rFonts w:eastAsia="Calibri" w:cs="Arial"/>
        </w:rPr>
        <w:t>planned programmes</w:t>
      </w:r>
      <w:r w:rsidRPr="00AF5A15">
        <w:rPr>
          <w:rFonts w:eastAsia="Calibri" w:cs="Arial"/>
        </w:rPr>
        <w:t xml:space="preserve"> including fit trails and wider park improvements such</w:t>
      </w:r>
      <w:r>
        <w:rPr>
          <w:rFonts w:eastAsia="Calibri" w:cs="Arial"/>
        </w:rPr>
        <w:t xml:space="preserve"> </w:t>
      </w:r>
      <w:r w:rsidR="00C83A76">
        <w:rPr>
          <w:rFonts w:eastAsia="Calibri" w:cs="Arial"/>
        </w:rPr>
        <w:t xml:space="preserve">as </w:t>
      </w:r>
      <w:r>
        <w:rPr>
          <w:rFonts w:eastAsia="Calibri" w:cs="Arial"/>
        </w:rPr>
        <w:t>signage.</w:t>
      </w:r>
      <w:r w:rsidR="00E73998">
        <w:rPr>
          <w:rFonts w:eastAsia="Calibri" w:cs="Arial"/>
        </w:rPr>
        <w:t xml:space="preserve">  </w:t>
      </w:r>
      <w:r w:rsidR="00EE693B">
        <w:rPr>
          <w:rFonts w:eastAsia="Calibri" w:cs="Arial"/>
        </w:rPr>
        <w:t>It is recommended that th</w:t>
      </w:r>
      <w:r w:rsidR="00E73998">
        <w:rPr>
          <w:rFonts w:eastAsia="Calibri" w:cs="Arial"/>
        </w:rPr>
        <w:t>is is added to the Council’s Capital Programme</w:t>
      </w:r>
    </w:p>
    <w:p w:rsidR="00E73998" w:rsidRDefault="00E73998" w:rsidP="00BF2C68">
      <w:pPr>
        <w:rPr>
          <w:rFonts w:cs="Arial"/>
          <w:b/>
        </w:rPr>
      </w:pPr>
    </w:p>
    <w:p w:rsidR="00BF2C68" w:rsidRDefault="00BF2C68" w:rsidP="00BF2C68">
      <w:pPr>
        <w:rPr>
          <w:rFonts w:cs="Arial"/>
          <w:b/>
        </w:rPr>
      </w:pPr>
      <w:r>
        <w:rPr>
          <w:rFonts w:cs="Arial"/>
          <w:b/>
        </w:rPr>
        <w:t>Performance</w:t>
      </w:r>
    </w:p>
    <w:p w:rsidR="00BF2C68" w:rsidRDefault="00BF2C68" w:rsidP="00BF2C68">
      <w:pPr>
        <w:rPr>
          <w:rFonts w:cs="Arial"/>
          <w:b/>
        </w:rPr>
      </w:pPr>
    </w:p>
    <w:p w:rsidR="00BF2C68" w:rsidRDefault="00BF2C68" w:rsidP="00BD4A81">
      <w:pPr>
        <w:numPr>
          <w:ilvl w:val="0"/>
          <w:numId w:val="1"/>
        </w:numPr>
        <w:ind w:left="426" w:hanging="426"/>
        <w:rPr>
          <w:rFonts w:cs="Arial"/>
        </w:rPr>
      </w:pPr>
      <w:r>
        <w:rPr>
          <w:rFonts w:cs="Arial"/>
        </w:rPr>
        <w:t xml:space="preserve">Corporate and Directorate performance is reported within Appendices A to </w:t>
      </w:r>
      <w:r w:rsidR="00B949C8">
        <w:rPr>
          <w:rFonts w:cs="Arial"/>
        </w:rPr>
        <w:t>E</w:t>
      </w:r>
      <w:r>
        <w:rPr>
          <w:rFonts w:cs="Arial"/>
        </w:rPr>
        <w:t xml:space="preserve">.  </w:t>
      </w:r>
      <w:r w:rsidR="00B8588B">
        <w:rPr>
          <w:rFonts w:cs="Arial"/>
        </w:rPr>
        <w:t xml:space="preserve">There are </w:t>
      </w:r>
      <w:r w:rsidR="00ED0EEB">
        <w:rPr>
          <w:rFonts w:cs="Arial"/>
        </w:rPr>
        <w:t>four</w:t>
      </w:r>
      <w:r w:rsidR="00B8588B">
        <w:rPr>
          <w:rFonts w:cs="Arial"/>
        </w:rPr>
        <w:t xml:space="preserve"> </w:t>
      </w:r>
      <w:r>
        <w:rPr>
          <w:rFonts w:cs="Arial"/>
        </w:rPr>
        <w:t xml:space="preserve">Corporate Performance Indicators that are not </w:t>
      </w:r>
      <w:r w:rsidR="00B8588B">
        <w:rPr>
          <w:rFonts w:cs="Arial"/>
        </w:rPr>
        <w:t xml:space="preserve">on </w:t>
      </w:r>
      <w:r>
        <w:rPr>
          <w:rFonts w:cs="Arial"/>
        </w:rPr>
        <w:t>target</w:t>
      </w:r>
      <w:r w:rsidR="005630E7">
        <w:rPr>
          <w:rFonts w:cs="Arial"/>
        </w:rPr>
        <w:t>,</w:t>
      </w:r>
      <w:r>
        <w:rPr>
          <w:rFonts w:cs="Arial"/>
        </w:rPr>
        <w:t xml:space="preserve"> </w:t>
      </w:r>
      <w:r w:rsidR="00ED0EEB">
        <w:rPr>
          <w:rFonts w:cs="Arial"/>
        </w:rPr>
        <w:t xml:space="preserve">two </w:t>
      </w:r>
      <w:r w:rsidR="003473B2">
        <w:rPr>
          <w:rFonts w:cs="Arial"/>
        </w:rPr>
        <w:t xml:space="preserve">are outside </w:t>
      </w:r>
      <w:r w:rsidR="003473B2" w:rsidRPr="003473B2">
        <w:rPr>
          <w:rFonts w:cs="Arial"/>
        </w:rPr>
        <w:t xml:space="preserve">acceptable tolerance limits </w:t>
      </w:r>
      <w:r>
        <w:rPr>
          <w:rFonts w:cs="Arial"/>
        </w:rPr>
        <w:t>a</w:t>
      </w:r>
      <w:r w:rsidR="00ED0EEB">
        <w:rPr>
          <w:rFonts w:cs="Arial"/>
        </w:rPr>
        <w:t>nd</w:t>
      </w:r>
      <w:r>
        <w:rPr>
          <w:rFonts w:cs="Arial"/>
        </w:rPr>
        <w:t xml:space="preserve"> </w:t>
      </w:r>
      <w:r w:rsidR="00ED0EEB">
        <w:rPr>
          <w:rFonts w:cs="Arial"/>
        </w:rPr>
        <w:t>two</w:t>
      </w:r>
      <w:r w:rsidR="003473B2">
        <w:rPr>
          <w:rFonts w:cs="Arial"/>
        </w:rPr>
        <w:t xml:space="preserve"> are within </w:t>
      </w:r>
      <w:r w:rsidR="003473B2" w:rsidRPr="003473B2">
        <w:rPr>
          <w:rFonts w:cs="Arial"/>
        </w:rPr>
        <w:t xml:space="preserve">acceptable tolerance limits </w:t>
      </w:r>
      <w:r w:rsidR="003473B2">
        <w:rPr>
          <w:rFonts w:cs="Arial"/>
        </w:rPr>
        <w:t>a</w:t>
      </w:r>
      <w:r w:rsidR="00ED0EEB">
        <w:rPr>
          <w:rFonts w:cs="Arial"/>
        </w:rPr>
        <w:t xml:space="preserve">s set out </w:t>
      </w:r>
      <w:r>
        <w:rPr>
          <w:rFonts w:cs="Arial"/>
        </w:rPr>
        <w:t>below.  More detail is contained in Appendix A.</w:t>
      </w:r>
    </w:p>
    <w:p w:rsidR="00ED0EEB" w:rsidRDefault="00ED0EEB" w:rsidP="003473B2">
      <w:pPr>
        <w:ind w:left="426"/>
        <w:rPr>
          <w:rFonts w:cs="Arial"/>
          <w:u w:val="single"/>
        </w:rPr>
      </w:pPr>
    </w:p>
    <w:p w:rsidR="003473B2" w:rsidRPr="002F7B75" w:rsidRDefault="003473B2" w:rsidP="003473B2">
      <w:pPr>
        <w:ind w:left="426"/>
        <w:rPr>
          <w:rFonts w:cs="Arial"/>
          <w:u w:val="single"/>
        </w:rPr>
      </w:pPr>
      <w:r w:rsidRPr="002F7B75">
        <w:rPr>
          <w:rFonts w:cs="Arial"/>
          <w:u w:val="single"/>
        </w:rPr>
        <w:t>Outside acceptable tolerance limits</w:t>
      </w:r>
    </w:p>
    <w:p w:rsidR="00211DE3" w:rsidRPr="009B5A72" w:rsidRDefault="009B5A72" w:rsidP="00E30012">
      <w:pPr>
        <w:numPr>
          <w:ilvl w:val="0"/>
          <w:numId w:val="15"/>
        </w:numPr>
        <w:rPr>
          <w:rFonts w:cs="Arial"/>
        </w:rPr>
      </w:pPr>
      <w:r w:rsidRPr="00E30012">
        <w:rPr>
          <w:rFonts w:cs="Arial"/>
          <w:b/>
        </w:rPr>
        <w:t>Apprenticeships -</w:t>
      </w:r>
      <w:r>
        <w:rPr>
          <w:rFonts w:cs="Arial"/>
        </w:rPr>
        <w:t xml:space="preserve"> </w:t>
      </w:r>
      <w:r w:rsidRPr="009B5A72">
        <w:rPr>
          <w:rFonts w:cs="Arial"/>
        </w:rPr>
        <w:t xml:space="preserve">18 apprentices were employed by external companies in June as a direct result of </w:t>
      </w:r>
      <w:r w:rsidR="00083E8E" w:rsidRPr="009B5A72">
        <w:rPr>
          <w:rFonts w:cs="Arial"/>
        </w:rPr>
        <w:t>Council investment</w:t>
      </w:r>
      <w:r w:rsidRPr="009B5A72">
        <w:rPr>
          <w:rFonts w:cs="Arial"/>
        </w:rPr>
        <w:t xml:space="preserve"> in regeneration schemes within the city</w:t>
      </w:r>
      <w:r>
        <w:rPr>
          <w:rFonts w:cs="Arial"/>
        </w:rPr>
        <w:t xml:space="preserve">, which was </w:t>
      </w:r>
      <w:r w:rsidR="00211DE3" w:rsidRPr="009B5A72">
        <w:rPr>
          <w:rFonts w:cs="Arial"/>
        </w:rPr>
        <w:t>short of the target of 26. However, information has not yet been received from two construction contractors, and so may be higher than shown. The missing data is currently being sought.</w:t>
      </w:r>
      <w:r w:rsidR="00DE6018">
        <w:rPr>
          <w:rFonts w:cs="Arial"/>
        </w:rPr>
        <w:t xml:space="preserve"> It is </w:t>
      </w:r>
      <w:r w:rsidR="00DE6018" w:rsidRPr="00DE6018">
        <w:rPr>
          <w:rFonts w:cs="Arial"/>
        </w:rPr>
        <w:t xml:space="preserve">anticipated that this situation </w:t>
      </w:r>
      <w:r w:rsidR="00DE6018">
        <w:rPr>
          <w:rFonts w:cs="Arial"/>
        </w:rPr>
        <w:t>will</w:t>
      </w:r>
      <w:r w:rsidR="00DE6018" w:rsidRPr="00DE6018">
        <w:rPr>
          <w:rFonts w:cs="Arial"/>
        </w:rPr>
        <w:t xml:space="preserve"> improve in the near future as more schemes get underway</w:t>
      </w:r>
      <w:r w:rsidR="00DE6018">
        <w:rPr>
          <w:rFonts w:cs="Arial"/>
        </w:rPr>
        <w:t>.</w:t>
      </w:r>
    </w:p>
    <w:p w:rsidR="00211DE3" w:rsidRPr="009B5A72" w:rsidRDefault="009B5A72" w:rsidP="00E30012">
      <w:pPr>
        <w:numPr>
          <w:ilvl w:val="0"/>
          <w:numId w:val="15"/>
        </w:numPr>
        <w:rPr>
          <w:rFonts w:cs="Arial"/>
        </w:rPr>
      </w:pPr>
      <w:r w:rsidRPr="00E30012">
        <w:rPr>
          <w:rFonts w:cs="Arial"/>
          <w:b/>
        </w:rPr>
        <w:t>A</w:t>
      </w:r>
      <w:r w:rsidR="00211DE3" w:rsidRPr="00E30012">
        <w:rPr>
          <w:rFonts w:cs="Arial"/>
          <w:b/>
        </w:rPr>
        <w:t>ffordable homes for rent delivered</w:t>
      </w:r>
      <w:r w:rsidR="00211DE3" w:rsidRPr="009B5A72">
        <w:rPr>
          <w:rFonts w:cs="Arial"/>
        </w:rPr>
        <w:t xml:space="preserve"> – The number of units delivered stood at 20 for June against a profiled target of 60.</w:t>
      </w:r>
      <w:r w:rsidR="00AD3823">
        <w:rPr>
          <w:rFonts w:cs="Arial"/>
        </w:rPr>
        <w:t xml:space="preserve">  </w:t>
      </w:r>
      <w:r w:rsidR="006C7363">
        <w:rPr>
          <w:rFonts w:cs="Arial"/>
        </w:rPr>
        <w:t>This is due to the slippage on the AHP 1 programme.</w:t>
      </w:r>
      <w:r w:rsidR="00211DE3" w:rsidRPr="009B5A72">
        <w:rPr>
          <w:rFonts w:cs="Arial"/>
        </w:rPr>
        <w:t xml:space="preserve"> The remaining 40 units at </w:t>
      </w:r>
      <w:proofErr w:type="spellStart"/>
      <w:r w:rsidR="00211DE3" w:rsidRPr="009B5A72">
        <w:rPr>
          <w:rFonts w:cs="Arial"/>
        </w:rPr>
        <w:t>Minchery</w:t>
      </w:r>
      <w:proofErr w:type="spellEnd"/>
      <w:r w:rsidR="00211DE3" w:rsidRPr="009B5A72">
        <w:rPr>
          <w:rFonts w:cs="Arial"/>
        </w:rPr>
        <w:t xml:space="preserve"> Farm</w:t>
      </w:r>
      <w:r w:rsidR="00AD3823">
        <w:rPr>
          <w:rFonts w:cs="Arial"/>
        </w:rPr>
        <w:t xml:space="preserve"> </w:t>
      </w:r>
      <w:r w:rsidR="006C7363">
        <w:rPr>
          <w:rFonts w:cs="Arial"/>
        </w:rPr>
        <w:t>and</w:t>
      </w:r>
      <w:r w:rsidR="00211DE3" w:rsidRPr="009B5A72">
        <w:rPr>
          <w:rFonts w:cs="Arial"/>
        </w:rPr>
        <w:t xml:space="preserve"> </w:t>
      </w:r>
      <w:proofErr w:type="spellStart"/>
      <w:proofErr w:type="gramStart"/>
      <w:r w:rsidR="00211DE3" w:rsidRPr="009B5A72">
        <w:rPr>
          <w:rFonts w:cs="Arial"/>
        </w:rPr>
        <w:t>Bradlands</w:t>
      </w:r>
      <w:proofErr w:type="spellEnd"/>
      <w:r w:rsidR="00211DE3" w:rsidRPr="009B5A72">
        <w:rPr>
          <w:rFonts w:cs="Arial"/>
        </w:rPr>
        <w:t>,</w:t>
      </w:r>
      <w:proofErr w:type="gramEnd"/>
      <w:r w:rsidR="00211DE3" w:rsidRPr="009B5A72">
        <w:rPr>
          <w:rFonts w:cs="Arial"/>
        </w:rPr>
        <w:t xml:space="preserve"> </w:t>
      </w:r>
      <w:r w:rsidR="006C7363">
        <w:rPr>
          <w:rFonts w:cs="Arial"/>
        </w:rPr>
        <w:t>will be</w:t>
      </w:r>
      <w:r w:rsidR="00211DE3" w:rsidRPr="009B5A72">
        <w:rPr>
          <w:rFonts w:cs="Arial"/>
        </w:rPr>
        <w:t xml:space="preserve"> handed over during Quarter 2</w:t>
      </w:r>
      <w:r>
        <w:rPr>
          <w:rFonts w:cs="Arial"/>
        </w:rPr>
        <w:t xml:space="preserve"> of 2015/16.</w:t>
      </w:r>
    </w:p>
    <w:p w:rsidR="00ED0EEB" w:rsidRDefault="00ED0EEB" w:rsidP="002F7B75">
      <w:pPr>
        <w:ind w:left="426"/>
        <w:rPr>
          <w:rFonts w:cs="Arial"/>
          <w:u w:val="single"/>
        </w:rPr>
      </w:pPr>
    </w:p>
    <w:p w:rsidR="002F7B75" w:rsidRDefault="002F7B75" w:rsidP="002F7B75">
      <w:pPr>
        <w:ind w:left="426"/>
        <w:rPr>
          <w:rFonts w:cs="Arial"/>
          <w:u w:val="single"/>
        </w:rPr>
      </w:pPr>
      <w:r w:rsidRPr="002F7B75">
        <w:rPr>
          <w:rFonts w:cs="Arial"/>
          <w:u w:val="single"/>
        </w:rPr>
        <w:t>Within acceptable tolerance limits</w:t>
      </w:r>
    </w:p>
    <w:p w:rsidR="009B5A72" w:rsidRPr="00E30012" w:rsidRDefault="009B5A72" w:rsidP="002F7B75">
      <w:pPr>
        <w:ind w:left="426"/>
        <w:rPr>
          <w:rFonts w:cs="Arial"/>
        </w:rPr>
      </w:pPr>
      <w:r w:rsidRPr="00E30012">
        <w:rPr>
          <w:rFonts w:cs="Arial"/>
        </w:rPr>
        <w:t>There are two performance targets wh</w:t>
      </w:r>
      <w:r w:rsidR="00DE6018" w:rsidRPr="00E30012">
        <w:rPr>
          <w:rFonts w:cs="Arial"/>
        </w:rPr>
        <w:t>ich,</w:t>
      </w:r>
      <w:r w:rsidRPr="00E30012">
        <w:rPr>
          <w:rFonts w:cs="Arial"/>
        </w:rPr>
        <w:t xml:space="preserve"> although the target has not completely been met</w:t>
      </w:r>
      <w:r w:rsidR="00DE6018" w:rsidRPr="00E30012">
        <w:rPr>
          <w:rFonts w:cs="Arial"/>
        </w:rPr>
        <w:t>,</w:t>
      </w:r>
      <w:r w:rsidRPr="00E30012">
        <w:rPr>
          <w:rFonts w:cs="Arial"/>
        </w:rPr>
        <w:t xml:space="preserve"> are with</w:t>
      </w:r>
      <w:r w:rsidR="00DE6018" w:rsidRPr="00E30012">
        <w:rPr>
          <w:rFonts w:cs="Arial"/>
        </w:rPr>
        <w:t>i</w:t>
      </w:r>
      <w:r w:rsidRPr="00E30012">
        <w:rPr>
          <w:rFonts w:cs="Arial"/>
        </w:rPr>
        <w:t>n acceptance tolerance limits and do not give cause for concern at this stage</w:t>
      </w:r>
      <w:r w:rsidR="00DE6018" w:rsidRPr="00E30012">
        <w:rPr>
          <w:rFonts w:cs="Arial"/>
        </w:rPr>
        <w:t>:</w:t>
      </w:r>
    </w:p>
    <w:p w:rsidR="002F7B75" w:rsidRPr="002F7B75" w:rsidRDefault="002F7B75" w:rsidP="002F7B75">
      <w:pPr>
        <w:numPr>
          <w:ilvl w:val="0"/>
          <w:numId w:val="15"/>
        </w:numPr>
        <w:rPr>
          <w:rFonts w:cs="Arial"/>
        </w:rPr>
      </w:pPr>
      <w:r w:rsidRPr="002F7B75">
        <w:rPr>
          <w:rFonts w:cs="Arial"/>
        </w:rPr>
        <w:t>Training places and jobs created</w:t>
      </w:r>
    </w:p>
    <w:p w:rsidR="002F7B75" w:rsidRPr="002F7B75" w:rsidRDefault="002F7B75" w:rsidP="002F7B75">
      <w:pPr>
        <w:numPr>
          <w:ilvl w:val="0"/>
          <w:numId w:val="15"/>
        </w:numPr>
        <w:rPr>
          <w:rFonts w:cs="Arial"/>
        </w:rPr>
      </w:pPr>
      <w:r w:rsidRPr="002F7B75">
        <w:rPr>
          <w:rFonts w:cs="Arial"/>
        </w:rPr>
        <w:t>Delivery of Efficiency Savings</w:t>
      </w:r>
    </w:p>
    <w:p w:rsidR="00283734" w:rsidRPr="004828D3" w:rsidRDefault="00283734" w:rsidP="00283734">
      <w:pPr>
        <w:rPr>
          <w:rFonts w:cs="Arial"/>
        </w:rPr>
      </w:pPr>
    </w:p>
    <w:p w:rsidR="00714894" w:rsidRDefault="00714894" w:rsidP="00445174">
      <w:pPr>
        <w:rPr>
          <w:rFonts w:cs="Arial"/>
          <w:b/>
        </w:rPr>
      </w:pPr>
      <w:r>
        <w:rPr>
          <w:rFonts w:cs="Arial"/>
          <w:b/>
        </w:rPr>
        <w:t>Risk</w:t>
      </w:r>
    </w:p>
    <w:p w:rsidR="008E5A73" w:rsidRDefault="008E5A73" w:rsidP="00445174">
      <w:pPr>
        <w:rPr>
          <w:rFonts w:cs="Arial"/>
          <w:b/>
        </w:rPr>
      </w:pPr>
    </w:p>
    <w:p w:rsidR="0069059C" w:rsidRDefault="0069059C" w:rsidP="00BD4A81">
      <w:pPr>
        <w:numPr>
          <w:ilvl w:val="0"/>
          <w:numId w:val="1"/>
        </w:numPr>
        <w:ind w:left="426" w:hanging="426"/>
        <w:rPr>
          <w:rFonts w:cs="Arial"/>
        </w:rPr>
      </w:pPr>
      <w:r>
        <w:rPr>
          <w:rFonts w:cs="Arial"/>
        </w:rPr>
        <w:t xml:space="preserve">Corporate and Directorate risks are reported within Appendices A to </w:t>
      </w:r>
      <w:r w:rsidR="005D546F">
        <w:rPr>
          <w:rFonts w:cs="Arial"/>
        </w:rPr>
        <w:t>D</w:t>
      </w:r>
      <w:r>
        <w:rPr>
          <w:rFonts w:cs="Arial"/>
        </w:rPr>
        <w:t>.  Risks are measured according to t</w:t>
      </w:r>
      <w:r w:rsidRPr="0069059C">
        <w:rPr>
          <w:rFonts w:cs="Arial"/>
        </w:rPr>
        <w:t xml:space="preserve">he matrix </w:t>
      </w:r>
      <w:r>
        <w:rPr>
          <w:rFonts w:cs="Arial"/>
        </w:rPr>
        <w:t xml:space="preserve">shown </w:t>
      </w:r>
      <w:r w:rsidRPr="0069059C">
        <w:rPr>
          <w:rFonts w:cs="Arial"/>
        </w:rPr>
        <w:t>below:</w:t>
      </w:r>
    </w:p>
    <w:p w:rsidR="0069059C" w:rsidRPr="0069059C" w:rsidRDefault="0069059C" w:rsidP="0069059C">
      <w:pPr>
        <w:ind w:left="426"/>
        <w:rPr>
          <w:rFonts w:cs="Arial"/>
        </w:rPr>
      </w:pPr>
    </w:p>
    <w:p w:rsidR="00B647CA" w:rsidRPr="007F3944" w:rsidRDefault="009D6722" w:rsidP="007F3944">
      <w:pPr>
        <w:ind w:left="426"/>
      </w:pPr>
      <w:r>
        <w:rPr>
          <w:noProof/>
          <w:lang w:eastAsia="en-GB"/>
        </w:rPr>
        <w:lastRenderedPageBreak/>
        <w:drawing>
          <wp:inline distT="0" distB="0" distL="0" distR="0" wp14:anchorId="63769424" wp14:editId="571E059D">
            <wp:extent cx="4375150" cy="2190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5150" cy="2190750"/>
                    </a:xfrm>
                    <a:prstGeom prst="rect">
                      <a:avLst/>
                    </a:prstGeom>
                    <a:noFill/>
                    <a:ln>
                      <a:noFill/>
                    </a:ln>
                  </pic:spPr>
                </pic:pic>
              </a:graphicData>
            </a:graphic>
          </wp:inline>
        </w:drawing>
      </w:r>
    </w:p>
    <w:p w:rsidR="00BF2C68" w:rsidRDefault="00BF2C68" w:rsidP="00BD4A81">
      <w:pPr>
        <w:numPr>
          <w:ilvl w:val="0"/>
          <w:numId w:val="1"/>
        </w:numPr>
        <w:ind w:left="426" w:hanging="426"/>
        <w:rPr>
          <w:rFonts w:cs="Arial"/>
        </w:rPr>
      </w:pPr>
      <w:r>
        <w:rPr>
          <w:rFonts w:cs="Arial"/>
        </w:rPr>
        <w:t xml:space="preserve">There </w:t>
      </w:r>
      <w:r w:rsidR="005630E7">
        <w:rPr>
          <w:rFonts w:cs="Arial"/>
        </w:rPr>
        <w:t xml:space="preserve">were </w:t>
      </w:r>
      <w:r>
        <w:rPr>
          <w:rFonts w:cs="Arial"/>
        </w:rPr>
        <w:t>no red Corporate R</w:t>
      </w:r>
      <w:r w:rsidR="00CC1BAC">
        <w:rPr>
          <w:rFonts w:cs="Arial"/>
        </w:rPr>
        <w:t>isks</w:t>
      </w:r>
      <w:r w:rsidR="005630E7">
        <w:rPr>
          <w:rFonts w:cs="Arial"/>
        </w:rPr>
        <w:t xml:space="preserve"> identified within quarter 1</w:t>
      </w:r>
      <w:r w:rsidR="00CC1BAC">
        <w:rPr>
          <w:rFonts w:cs="Arial"/>
        </w:rPr>
        <w:t>.</w:t>
      </w:r>
      <w:r w:rsidR="005630E7">
        <w:rPr>
          <w:rFonts w:cs="Arial"/>
        </w:rPr>
        <w:t xml:space="preserve">  However, following the </w:t>
      </w:r>
      <w:r w:rsidR="00CA2DFA">
        <w:rPr>
          <w:rFonts w:cs="Arial"/>
        </w:rPr>
        <w:t xml:space="preserve">Chancellor’s </w:t>
      </w:r>
      <w:r w:rsidR="005630E7">
        <w:rPr>
          <w:rFonts w:cs="Arial"/>
        </w:rPr>
        <w:t>Budget</w:t>
      </w:r>
      <w:r w:rsidR="00CA2DFA">
        <w:rPr>
          <w:rFonts w:cs="Arial"/>
        </w:rPr>
        <w:t xml:space="preserve"> Statement in July</w:t>
      </w:r>
      <w:r w:rsidR="005630E7">
        <w:rPr>
          <w:rFonts w:cs="Arial"/>
        </w:rPr>
        <w:t xml:space="preserve"> 2015 there is a new </w:t>
      </w:r>
      <w:r w:rsidR="00CA2DFA">
        <w:rPr>
          <w:rFonts w:cs="Arial"/>
        </w:rPr>
        <w:t xml:space="preserve">red </w:t>
      </w:r>
      <w:r w:rsidR="005630E7">
        <w:rPr>
          <w:rFonts w:cs="Arial"/>
        </w:rPr>
        <w:t xml:space="preserve">risk </w:t>
      </w:r>
      <w:r w:rsidR="00CA2DFA">
        <w:rPr>
          <w:rFonts w:cs="Arial"/>
        </w:rPr>
        <w:t xml:space="preserve">as </w:t>
      </w:r>
      <w:r w:rsidR="005630E7">
        <w:rPr>
          <w:rFonts w:cs="Arial"/>
        </w:rPr>
        <w:t>detailed in paragraph 14 below.</w:t>
      </w:r>
      <w:r w:rsidR="00CC1BAC">
        <w:rPr>
          <w:rFonts w:cs="Arial"/>
        </w:rPr>
        <w:t xml:space="preserve">  The </w:t>
      </w:r>
      <w:r w:rsidR="005101F7">
        <w:rPr>
          <w:rFonts w:cs="Arial"/>
        </w:rPr>
        <w:t xml:space="preserve">four </w:t>
      </w:r>
      <w:r>
        <w:rPr>
          <w:rFonts w:cs="Arial"/>
        </w:rPr>
        <w:t xml:space="preserve">amber </w:t>
      </w:r>
      <w:r w:rsidRPr="00BF2C68">
        <w:rPr>
          <w:rFonts w:cs="Arial"/>
        </w:rPr>
        <w:t xml:space="preserve">Corporate Risks </w:t>
      </w:r>
      <w:r>
        <w:rPr>
          <w:rFonts w:cs="Arial"/>
        </w:rPr>
        <w:t>are listed below</w:t>
      </w:r>
      <w:r w:rsidR="00CC1BAC">
        <w:rPr>
          <w:rFonts w:cs="Arial"/>
        </w:rPr>
        <w:t xml:space="preserve"> with m</w:t>
      </w:r>
      <w:r w:rsidRPr="00BF2C68">
        <w:rPr>
          <w:rFonts w:cs="Arial"/>
        </w:rPr>
        <w:t>ore detail contained in Appendix A.</w:t>
      </w:r>
    </w:p>
    <w:p w:rsidR="00BF2C68" w:rsidRPr="005101F7" w:rsidRDefault="00BF345E" w:rsidP="00EB5F90">
      <w:pPr>
        <w:numPr>
          <w:ilvl w:val="0"/>
          <w:numId w:val="16"/>
        </w:numPr>
        <w:rPr>
          <w:rFonts w:cs="Arial"/>
        </w:rPr>
      </w:pPr>
      <w:r w:rsidRPr="005101F7">
        <w:rPr>
          <w:rFonts w:cs="Arial"/>
        </w:rPr>
        <w:t>Resilience of the Information and Communications Technology function</w:t>
      </w:r>
    </w:p>
    <w:p w:rsidR="00BF345E" w:rsidRPr="005101F7" w:rsidRDefault="00BF345E" w:rsidP="00EB5F90">
      <w:pPr>
        <w:numPr>
          <w:ilvl w:val="0"/>
          <w:numId w:val="16"/>
        </w:numPr>
        <w:rPr>
          <w:rFonts w:cs="Arial"/>
        </w:rPr>
      </w:pPr>
      <w:r w:rsidRPr="005101F7">
        <w:rPr>
          <w:rFonts w:cs="Arial"/>
        </w:rPr>
        <w:t xml:space="preserve">Medium Term Financial </w:t>
      </w:r>
      <w:r w:rsidR="005101F7" w:rsidRPr="005101F7">
        <w:rPr>
          <w:rFonts w:cs="Arial"/>
        </w:rPr>
        <w:t>Planning</w:t>
      </w:r>
    </w:p>
    <w:p w:rsidR="00BF345E" w:rsidRPr="005101F7" w:rsidRDefault="005101F7" w:rsidP="00EB5F90">
      <w:pPr>
        <w:numPr>
          <w:ilvl w:val="0"/>
          <w:numId w:val="16"/>
        </w:numPr>
        <w:rPr>
          <w:rFonts w:cs="Arial"/>
        </w:rPr>
      </w:pPr>
      <w:r w:rsidRPr="005101F7">
        <w:rPr>
          <w:rFonts w:cs="Arial"/>
        </w:rPr>
        <w:t>Partnership Risk</w:t>
      </w:r>
    </w:p>
    <w:p w:rsidR="00BF345E" w:rsidRPr="005101F7" w:rsidRDefault="005101F7" w:rsidP="00EB5F90">
      <w:pPr>
        <w:numPr>
          <w:ilvl w:val="0"/>
          <w:numId w:val="16"/>
        </w:numPr>
        <w:rPr>
          <w:rFonts w:cs="Arial"/>
        </w:rPr>
      </w:pPr>
      <w:r w:rsidRPr="005101F7">
        <w:rPr>
          <w:rFonts w:cs="Arial"/>
        </w:rPr>
        <w:t xml:space="preserve">Recruitment and </w:t>
      </w:r>
      <w:r w:rsidR="00CA2DFA">
        <w:rPr>
          <w:rFonts w:cs="Arial"/>
        </w:rPr>
        <w:t>R</w:t>
      </w:r>
      <w:r w:rsidRPr="005101F7">
        <w:rPr>
          <w:rFonts w:cs="Arial"/>
        </w:rPr>
        <w:t>etention</w:t>
      </w:r>
    </w:p>
    <w:p w:rsidR="00E60EA3" w:rsidRDefault="00E60EA3" w:rsidP="006F4BA2">
      <w:pPr>
        <w:ind w:left="426"/>
        <w:rPr>
          <w:rFonts w:cs="Arial"/>
        </w:rPr>
      </w:pPr>
    </w:p>
    <w:p w:rsidR="00DA7B6B" w:rsidRPr="00FA5DBE" w:rsidRDefault="00DA7B6B" w:rsidP="001721C8">
      <w:pPr>
        <w:rPr>
          <w:rFonts w:cs="Arial"/>
          <w:b/>
        </w:rPr>
      </w:pPr>
      <w:r w:rsidRPr="00FA5DBE">
        <w:rPr>
          <w:rFonts w:cs="Arial"/>
          <w:b/>
        </w:rPr>
        <w:t>Medium Term Financial Planning</w:t>
      </w:r>
    </w:p>
    <w:p w:rsidR="00260B0E" w:rsidRDefault="005630E7" w:rsidP="005630E7">
      <w:pPr>
        <w:numPr>
          <w:ilvl w:val="0"/>
          <w:numId w:val="1"/>
        </w:numPr>
        <w:ind w:left="426"/>
        <w:rPr>
          <w:rFonts w:cs="Arial"/>
        </w:rPr>
      </w:pPr>
      <w:r>
        <w:rPr>
          <w:rFonts w:cs="Arial"/>
        </w:rPr>
        <w:t xml:space="preserve">The </w:t>
      </w:r>
      <w:r w:rsidR="00AC5820">
        <w:rPr>
          <w:rFonts w:cs="Arial"/>
        </w:rPr>
        <w:t xml:space="preserve">Chancellor’s </w:t>
      </w:r>
      <w:r w:rsidRPr="005630E7">
        <w:rPr>
          <w:rFonts w:cs="Arial"/>
        </w:rPr>
        <w:t xml:space="preserve">July </w:t>
      </w:r>
      <w:r w:rsidR="00AC5820">
        <w:rPr>
          <w:rFonts w:cs="Arial"/>
        </w:rPr>
        <w:t>Budget Statement included a number of proposals which have significant ramifications for the Council</w:t>
      </w:r>
      <w:r w:rsidR="00260B0E">
        <w:rPr>
          <w:rFonts w:cs="Arial"/>
        </w:rPr>
        <w:t>’</w:t>
      </w:r>
      <w:r w:rsidR="00AC5820">
        <w:rPr>
          <w:rFonts w:cs="Arial"/>
        </w:rPr>
        <w:t xml:space="preserve">s </w:t>
      </w:r>
      <w:r w:rsidR="00A765CE">
        <w:rPr>
          <w:rFonts w:cs="Arial"/>
        </w:rPr>
        <w:t xml:space="preserve">Medium Term Financial Plan, and in particular </w:t>
      </w:r>
      <w:r w:rsidRPr="005630E7">
        <w:rPr>
          <w:rFonts w:cs="Arial"/>
        </w:rPr>
        <w:t>the Housing Revenue Account</w:t>
      </w:r>
      <w:r w:rsidR="00260B0E">
        <w:rPr>
          <w:rFonts w:cs="Arial"/>
        </w:rPr>
        <w:t>,</w:t>
      </w:r>
      <w:r w:rsidR="00B876E7">
        <w:rPr>
          <w:rFonts w:cs="Arial"/>
        </w:rPr>
        <w:t xml:space="preserve"> which under current proposals is projected to have to find savings of @ £36 million over the next </w:t>
      </w:r>
      <w:r w:rsidR="0077440D">
        <w:rPr>
          <w:rFonts w:cs="Arial"/>
        </w:rPr>
        <w:t xml:space="preserve">4 </w:t>
      </w:r>
      <w:r w:rsidR="00B876E7">
        <w:rPr>
          <w:rFonts w:cs="Arial"/>
        </w:rPr>
        <w:t>years</w:t>
      </w:r>
      <w:r w:rsidR="00D04213">
        <w:rPr>
          <w:rFonts w:cs="Arial"/>
        </w:rPr>
        <w:t>.</w:t>
      </w:r>
      <w:r w:rsidR="0077440D">
        <w:rPr>
          <w:rFonts w:cs="Arial"/>
        </w:rPr>
        <w:t xml:space="preserve"> </w:t>
      </w:r>
    </w:p>
    <w:p w:rsidR="000F409C" w:rsidRDefault="000F409C" w:rsidP="000F409C">
      <w:pPr>
        <w:ind w:left="426"/>
        <w:rPr>
          <w:rFonts w:cs="Arial"/>
        </w:rPr>
      </w:pPr>
    </w:p>
    <w:p w:rsidR="000F409C" w:rsidRDefault="00DA7B6B" w:rsidP="000F409C">
      <w:pPr>
        <w:numPr>
          <w:ilvl w:val="0"/>
          <w:numId w:val="1"/>
        </w:numPr>
        <w:ind w:left="426"/>
        <w:rPr>
          <w:rFonts w:cs="Arial"/>
        </w:rPr>
      </w:pPr>
      <w:r>
        <w:rPr>
          <w:rFonts w:cs="Arial"/>
        </w:rPr>
        <w:t xml:space="preserve">Changes that are required to be made to the HRA Business Plan to mitigate the pressures will be determined through the budget setting cycle which is due to commence. In order to ensure that the Council has maximum flexibility around these issues it is recommended that a </w:t>
      </w:r>
      <w:r w:rsidR="000F409C" w:rsidRPr="000F409C">
        <w:rPr>
          <w:rFonts w:cs="Arial"/>
        </w:rPr>
        <w:t xml:space="preserve"> temporary moratorium </w:t>
      </w:r>
      <w:r>
        <w:rPr>
          <w:rFonts w:cs="Arial"/>
        </w:rPr>
        <w:t xml:space="preserve">is placed </w:t>
      </w:r>
      <w:r w:rsidR="000F409C" w:rsidRPr="000F409C">
        <w:rPr>
          <w:rFonts w:cs="Arial"/>
        </w:rPr>
        <w:t xml:space="preserve">on all non-essential </w:t>
      </w:r>
      <w:r>
        <w:rPr>
          <w:rFonts w:cs="Arial"/>
        </w:rPr>
        <w:t xml:space="preserve">General Fund and HRA </w:t>
      </w:r>
      <w:r w:rsidR="000F409C" w:rsidRPr="000F409C">
        <w:rPr>
          <w:rFonts w:cs="Arial"/>
        </w:rPr>
        <w:t>capital works</w:t>
      </w:r>
      <w:r>
        <w:rPr>
          <w:rFonts w:cs="Arial"/>
        </w:rPr>
        <w:t>,</w:t>
      </w:r>
      <w:r w:rsidR="000F409C" w:rsidRPr="000F409C">
        <w:rPr>
          <w:rFonts w:cs="Arial"/>
        </w:rPr>
        <w:t xml:space="preserve"> whilst officers review options for consideration</w:t>
      </w:r>
      <w:r>
        <w:rPr>
          <w:rFonts w:cs="Arial"/>
        </w:rPr>
        <w:t xml:space="preserve"> during the budget process. </w:t>
      </w:r>
    </w:p>
    <w:p w:rsidR="0077440D" w:rsidRDefault="0077440D" w:rsidP="000F409C">
      <w:pPr>
        <w:ind w:left="426"/>
        <w:rPr>
          <w:rFonts w:cs="Arial"/>
        </w:rPr>
      </w:pPr>
    </w:p>
    <w:p w:rsidR="00B647CA" w:rsidRDefault="00B647CA" w:rsidP="000F409C">
      <w:pPr>
        <w:rPr>
          <w:rFonts w:cs="Arial"/>
          <w:b/>
        </w:rPr>
      </w:pPr>
      <w:r>
        <w:rPr>
          <w:rFonts w:cs="Arial"/>
          <w:b/>
        </w:rPr>
        <w:t>Climate Change / Environmental Impact</w:t>
      </w:r>
    </w:p>
    <w:p w:rsidR="00B647CA" w:rsidRPr="006F4BA2" w:rsidRDefault="00B647CA" w:rsidP="00BD4A81">
      <w:pPr>
        <w:numPr>
          <w:ilvl w:val="0"/>
          <w:numId w:val="1"/>
        </w:numPr>
        <w:ind w:left="426" w:hanging="426"/>
        <w:rPr>
          <w:rFonts w:cs="Arial"/>
        </w:rPr>
      </w:pPr>
      <w:r w:rsidRPr="006F4BA2">
        <w:rPr>
          <w:rFonts w:cs="Arial"/>
        </w:rPr>
        <w:t>There are no issues arising directly from this report</w:t>
      </w:r>
    </w:p>
    <w:p w:rsidR="00B647CA" w:rsidRPr="006F4BA2" w:rsidRDefault="00B647CA" w:rsidP="006F4BA2">
      <w:pPr>
        <w:ind w:left="426"/>
        <w:rPr>
          <w:rFonts w:cs="Arial"/>
        </w:rPr>
      </w:pPr>
    </w:p>
    <w:p w:rsidR="00B647CA" w:rsidRDefault="00B647CA" w:rsidP="006F4BA2">
      <w:pPr>
        <w:rPr>
          <w:rFonts w:cs="Arial"/>
          <w:b/>
        </w:rPr>
      </w:pPr>
      <w:r w:rsidRPr="00B647CA">
        <w:rPr>
          <w:rFonts w:cs="Arial"/>
          <w:b/>
        </w:rPr>
        <w:t>Equalities impact</w:t>
      </w:r>
    </w:p>
    <w:p w:rsidR="00B647CA" w:rsidRPr="006F4BA2" w:rsidRDefault="00B647CA" w:rsidP="00BD4A81">
      <w:pPr>
        <w:numPr>
          <w:ilvl w:val="0"/>
          <w:numId w:val="1"/>
        </w:numPr>
        <w:ind w:left="426" w:hanging="426"/>
        <w:rPr>
          <w:rFonts w:cs="Arial"/>
        </w:rPr>
      </w:pPr>
      <w:r w:rsidRPr="006F4BA2">
        <w:rPr>
          <w:rFonts w:cs="Arial"/>
        </w:rPr>
        <w:t>There are no equalities impacts arising directly from this report</w:t>
      </w:r>
    </w:p>
    <w:p w:rsidR="006F4BA2" w:rsidRPr="006F4BA2" w:rsidRDefault="006F4BA2" w:rsidP="006F4BA2">
      <w:pPr>
        <w:rPr>
          <w:rFonts w:cs="Arial"/>
        </w:rPr>
      </w:pPr>
    </w:p>
    <w:p w:rsidR="00B647CA" w:rsidRDefault="00B647CA" w:rsidP="006F4BA2">
      <w:pPr>
        <w:rPr>
          <w:rFonts w:cs="Arial"/>
          <w:b/>
        </w:rPr>
      </w:pPr>
      <w:r w:rsidRPr="00B647CA">
        <w:rPr>
          <w:rFonts w:cs="Arial"/>
          <w:b/>
        </w:rPr>
        <w:t>Financial Implications</w:t>
      </w:r>
    </w:p>
    <w:p w:rsidR="00B647CA" w:rsidRPr="006F4BA2" w:rsidRDefault="00B647CA" w:rsidP="00BD4A81">
      <w:pPr>
        <w:numPr>
          <w:ilvl w:val="0"/>
          <w:numId w:val="1"/>
        </w:numPr>
        <w:ind w:left="426" w:hanging="426"/>
        <w:rPr>
          <w:rFonts w:cs="Arial"/>
        </w:rPr>
      </w:pPr>
      <w:r w:rsidRPr="006F4BA2">
        <w:rPr>
          <w:rFonts w:cs="Arial"/>
        </w:rPr>
        <w:t xml:space="preserve">All financial implications are covered in the body of this report and the </w:t>
      </w:r>
      <w:r w:rsidR="004D4BC9">
        <w:rPr>
          <w:rFonts w:cs="Arial"/>
        </w:rPr>
        <w:t>A</w:t>
      </w:r>
      <w:r w:rsidR="004D4BC9" w:rsidRPr="006F4BA2">
        <w:rPr>
          <w:rFonts w:cs="Arial"/>
        </w:rPr>
        <w:t>ppendices</w:t>
      </w:r>
      <w:r w:rsidRPr="006F4BA2">
        <w:rPr>
          <w:rFonts w:cs="Arial"/>
        </w:rPr>
        <w:t>.</w:t>
      </w:r>
    </w:p>
    <w:p w:rsidR="00714894" w:rsidRPr="006F4BA2" w:rsidRDefault="00714894" w:rsidP="00445174">
      <w:pPr>
        <w:rPr>
          <w:rFonts w:cs="Arial"/>
        </w:rPr>
      </w:pPr>
    </w:p>
    <w:p w:rsidR="00445174" w:rsidRDefault="005044C6" w:rsidP="00445174">
      <w:pPr>
        <w:rPr>
          <w:rFonts w:cs="Arial"/>
          <w:b/>
        </w:rPr>
      </w:pPr>
      <w:r w:rsidRPr="005044C6">
        <w:rPr>
          <w:rFonts w:cs="Arial"/>
          <w:b/>
        </w:rPr>
        <w:t>Legal Implications</w:t>
      </w:r>
    </w:p>
    <w:p w:rsidR="005044C6" w:rsidRPr="006F4BA2" w:rsidRDefault="005044C6" w:rsidP="00BD4A81">
      <w:pPr>
        <w:numPr>
          <w:ilvl w:val="0"/>
          <w:numId w:val="1"/>
        </w:numPr>
        <w:ind w:left="426" w:hanging="426"/>
        <w:rPr>
          <w:rFonts w:cs="Arial"/>
          <w:b/>
        </w:rPr>
      </w:pPr>
      <w:r>
        <w:rPr>
          <w:rFonts w:cs="Arial"/>
        </w:rPr>
        <w:t>There are no legal implications directly relevant to this report.</w:t>
      </w:r>
    </w:p>
    <w:p w:rsidR="00714894" w:rsidRPr="006E1B35" w:rsidRDefault="00714894" w:rsidP="006F4BA2">
      <w:pPr>
        <w:ind w:left="426"/>
        <w:rPr>
          <w:rFonts w:cs="Arial"/>
          <w:b/>
        </w:rPr>
      </w:pPr>
    </w:p>
    <w:tbl>
      <w:tblPr>
        <w:tblW w:w="96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64"/>
      </w:tblGrid>
      <w:tr w:rsidR="005D4C4D">
        <w:trPr>
          <w:trHeight w:val="270"/>
        </w:trPr>
        <w:tc>
          <w:tcPr>
            <w:tcW w:w="9664" w:type="dxa"/>
          </w:tcPr>
          <w:p w:rsidR="005D4C4D" w:rsidRDefault="005D4C4D" w:rsidP="005D4C4D">
            <w:pPr>
              <w:tabs>
                <w:tab w:val="left" w:pos="720"/>
                <w:tab w:val="left" w:pos="1440"/>
                <w:tab w:val="left" w:pos="2160"/>
                <w:tab w:val="left" w:pos="2880"/>
              </w:tabs>
            </w:pPr>
            <w:r>
              <w:rPr>
                <w:b/>
                <w:bCs/>
              </w:rPr>
              <w:t>Name and contact details of author:-</w:t>
            </w:r>
          </w:p>
        </w:tc>
      </w:tr>
      <w:tr w:rsidR="005D4C4D">
        <w:trPr>
          <w:trHeight w:val="285"/>
        </w:trPr>
        <w:tc>
          <w:tcPr>
            <w:tcW w:w="9664" w:type="dxa"/>
          </w:tcPr>
          <w:p w:rsidR="005D4C4D" w:rsidRDefault="005D4C4D" w:rsidP="00B949C8">
            <w:pPr>
              <w:tabs>
                <w:tab w:val="left" w:pos="720"/>
                <w:tab w:val="left" w:pos="1440"/>
                <w:tab w:val="left" w:pos="2160"/>
                <w:tab w:val="left" w:pos="2880"/>
              </w:tabs>
            </w:pPr>
            <w:r>
              <w:t xml:space="preserve">Name:  </w:t>
            </w:r>
            <w:r w:rsidR="006E1B35">
              <w:t>Nigel Kennedy</w:t>
            </w:r>
            <w:r w:rsidR="00330BE7">
              <w:t xml:space="preserve">, </w:t>
            </w:r>
            <w:r w:rsidR="00B949C8">
              <w:t>Helen Bishop</w:t>
            </w:r>
          </w:p>
        </w:tc>
      </w:tr>
      <w:tr w:rsidR="005D4C4D">
        <w:trPr>
          <w:trHeight w:val="270"/>
        </w:trPr>
        <w:tc>
          <w:tcPr>
            <w:tcW w:w="9664" w:type="dxa"/>
          </w:tcPr>
          <w:p w:rsidR="005D4C4D" w:rsidRDefault="005D4C4D" w:rsidP="00B949C8">
            <w:pPr>
              <w:tabs>
                <w:tab w:val="left" w:pos="720"/>
                <w:tab w:val="left" w:pos="1440"/>
                <w:tab w:val="left" w:pos="2160"/>
                <w:tab w:val="left" w:pos="2880"/>
              </w:tabs>
            </w:pPr>
            <w:r>
              <w:t xml:space="preserve">Job title:  </w:t>
            </w:r>
            <w:r w:rsidR="006E1B35">
              <w:t>Head of Financ</w:t>
            </w:r>
            <w:r w:rsidR="00B949C8">
              <w:t>ial Services</w:t>
            </w:r>
            <w:r w:rsidR="00330BE7">
              <w:t>, Head of Business Improvement</w:t>
            </w:r>
          </w:p>
        </w:tc>
      </w:tr>
      <w:tr w:rsidR="005D4C4D">
        <w:trPr>
          <w:trHeight w:val="270"/>
        </w:trPr>
        <w:tc>
          <w:tcPr>
            <w:tcW w:w="9664" w:type="dxa"/>
          </w:tcPr>
          <w:p w:rsidR="005D4C4D" w:rsidRDefault="005D4C4D" w:rsidP="00B949C8">
            <w:pPr>
              <w:tabs>
                <w:tab w:val="left" w:pos="720"/>
                <w:tab w:val="left" w:pos="1440"/>
                <w:tab w:val="left" w:pos="2160"/>
                <w:tab w:val="left" w:pos="2880"/>
              </w:tabs>
            </w:pPr>
            <w:r>
              <w:t>Service Area / Department:  Financ</w:t>
            </w:r>
            <w:r w:rsidR="00B949C8">
              <w:t xml:space="preserve">ial Services / </w:t>
            </w:r>
            <w:r w:rsidR="00330BE7">
              <w:t xml:space="preserve">Business Improvement </w:t>
            </w:r>
          </w:p>
        </w:tc>
      </w:tr>
      <w:tr w:rsidR="005D4C4D" w:rsidRPr="00B7705C">
        <w:trPr>
          <w:trHeight w:val="570"/>
        </w:trPr>
        <w:tc>
          <w:tcPr>
            <w:tcW w:w="9664" w:type="dxa"/>
          </w:tcPr>
          <w:p w:rsidR="005D4C4D" w:rsidRPr="00B7705C" w:rsidRDefault="005D4C4D" w:rsidP="00B949C8">
            <w:pPr>
              <w:tabs>
                <w:tab w:val="left" w:pos="720"/>
                <w:tab w:val="left" w:pos="1440"/>
                <w:tab w:val="left" w:pos="2160"/>
                <w:tab w:val="left" w:pos="2880"/>
              </w:tabs>
              <w:rPr>
                <w:color w:val="0000FF"/>
                <w:u w:val="single"/>
                <w:lang w:val="de-DE"/>
              </w:rPr>
            </w:pPr>
            <w:r w:rsidRPr="00B7705C">
              <w:rPr>
                <w:lang w:val="de-DE"/>
              </w:rPr>
              <w:t>Tel:  01865 252</w:t>
            </w:r>
            <w:r w:rsidR="006E1B35">
              <w:rPr>
                <w:lang w:val="de-DE"/>
              </w:rPr>
              <w:t>708</w:t>
            </w:r>
            <w:r w:rsidRPr="00B7705C">
              <w:rPr>
                <w:lang w:val="de-DE"/>
              </w:rPr>
              <w:t xml:space="preserve">  e-mail:  </w:t>
            </w:r>
            <w:hyperlink r:id="rId11" w:history="1">
              <w:r w:rsidR="00330BE7" w:rsidRPr="00426D96">
                <w:rPr>
                  <w:rStyle w:val="Hyperlink"/>
                  <w:lang w:val="de-DE"/>
                </w:rPr>
                <w:t>nkennedy@oxford.gov.uk</w:t>
              </w:r>
            </w:hyperlink>
            <w:r w:rsidR="00330BE7">
              <w:rPr>
                <w:lang w:val="de-DE"/>
              </w:rPr>
              <w:t xml:space="preserve">, </w:t>
            </w:r>
            <w:r w:rsidR="00B949C8">
              <w:rPr>
                <w:lang w:val="de-DE"/>
              </w:rPr>
              <w:t>hbishop</w:t>
            </w:r>
            <w:r w:rsidR="00330BE7">
              <w:rPr>
                <w:lang w:val="de-DE"/>
              </w:rPr>
              <w:t>@oxford.gov.uk</w:t>
            </w:r>
          </w:p>
        </w:tc>
      </w:tr>
    </w:tbl>
    <w:p w:rsidR="005D4C4D" w:rsidRPr="00B7705C" w:rsidRDefault="005D4C4D" w:rsidP="005D4C4D">
      <w:pPr>
        <w:rPr>
          <w:rFonts w:cs="Arial"/>
          <w:b/>
          <w:bCs/>
          <w:sz w:val="20"/>
          <w:lang w:val="de-DE"/>
        </w:rPr>
      </w:pPr>
    </w:p>
    <w:p w:rsidR="005064F0" w:rsidRDefault="005D4C4D">
      <w:pPr>
        <w:rPr>
          <w:rFonts w:cs="Arial"/>
          <w:b/>
          <w:bCs/>
        </w:rPr>
      </w:pPr>
      <w:r>
        <w:rPr>
          <w:rFonts w:cs="Arial"/>
          <w:b/>
          <w:bCs/>
        </w:rPr>
        <w:t xml:space="preserve">List of background papers: </w:t>
      </w:r>
      <w:r w:rsidR="000F72BC">
        <w:rPr>
          <w:rFonts w:cs="Arial"/>
          <w:b/>
          <w:bCs/>
        </w:rPr>
        <w:t>N</w:t>
      </w:r>
      <w:r w:rsidR="00815488">
        <w:rPr>
          <w:rFonts w:cs="Arial"/>
          <w:b/>
          <w:bCs/>
        </w:rPr>
        <w:t>one.</w:t>
      </w:r>
    </w:p>
    <w:p w:rsidR="009B2ED0" w:rsidRDefault="005D4C4D">
      <w:r>
        <w:rPr>
          <w:b/>
          <w:bCs/>
        </w:rPr>
        <w:t>Version number:</w:t>
      </w:r>
      <w:r w:rsidR="00CC2F8A">
        <w:rPr>
          <w:b/>
          <w:bCs/>
        </w:rPr>
        <w:t xml:space="preserve"> </w:t>
      </w:r>
    </w:p>
    <w:sectPr w:rsidR="009B2ED0">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71" w:rsidRDefault="008C3D71">
      <w:r>
        <w:separator/>
      </w:r>
    </w:p>
  </w:endnote>
  <w:endnote w:type="continuationSeparator" w:id="0">
    <w:p w:rsidR="008C3D71" w:rsidRDefault="008C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71" w:rsidRDefault="008C3D71">
      <w:r>
        <w:separator/>
      </w:r>
    </w:p>
  </w:footnote>
  <w:footnote w:type="continuationSeparator" w:id="0">
    <w:p w:rsidR="008C3D71" w:rsidRDefault="008C3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853"/>
    <w:multiLevelType w:val="hybridMultilevel"/>
    <w:tmpl w:val="9DFA0CC4"/>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80FEA"/>
    <w:multiLevelType w:val="hybridMultilevel"/>
    <w:tmpl w:val="625E3F22"/>
    <w:lvl w:ilvl="0" w:tplc="D6CCF95E">
      <w:start w:val="11"/>
      <w:numFmt w:val="decimal"/>
      <w:lvlText w:val="%1"/>
      <w:lvlJc w:val="left"/>
      <w:pPr>
        <w:ind w:left="720" w:hanging="360"/>
      </w:pPr>
      <w:rPr>
        <w:rFonts w:hint="default"/>
        <w:b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F70C82"/>
    <w:multiLevelType w:val="hybridMultilevel"/>
    <w:tmpl w:val="83EA30A4"/>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9354EF0"/>
    <w:multiLevelType w:val="hybridMultilevel"/>
    <w:tmpl w:val="E81AC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275C40CB"/>
    <w:multiLevelType w:val="hybridMultilevel"/>
    <w:tmpl w:val="5A6A14A2"/>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C0F032D"/>
    <w:multiLevelType w:val="hybridMultilevel"/>
    <w:tmpl w:val="0BECB426"/>
    <w:lvl w:ilvl="0" w:tplc="08090019">
      <w:start w:val="1"/>
      <w:numFmt w:val="lowerLetter"/>
      <w:lvlText w:val="%1."/>
      <w:lvlJc w:val="left"/>
      <w:pPr>
        <w:ind w:left="1701" w:hanging="360"/>
      </w:p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7">
    <w:nsid w:val="2DD62210"/>
    <w:multiLevelType w:val="hybridMultilevel"/>
    <w:tmpl w:val="E1E84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CB5406"/>
    <w:multiLevelType w:val="hybridMultilevel"/>
    <w:tmpl w:val="4518F4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3F513F67"/>
    <w:multiLevelType w:val="hybridMultilevel"/>
    <w:tmpl w:val="3E5CAD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44E24961"/>
    <w:multiLevelType w:val="hybridMultilevel"/>
    <w:tmpl w:val="CFF8DEDE"/>
    <w:lvl w:ilvl="0" w:tplc="D6CCF95E">
      <w:start w:val="1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4F650F48"/>
    <w:multiLevelType w:val="hybridMultilevel"/>
    <w:tmpl w:val="008436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39E1D9C"/>
    <w:multiLevelType w:val="hybridMultilevel"/>
    <w:tmpl w:val="D2A49218"/>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A50038"/>
    <w:multiLevelType w:val="hybridMultilevel"/>
    <w:tmpl w:val="1C567F1E"/>
    <w:lvl w:ilvl="0" w:tplc="8140081C">
      <w:start w:val="1"/>
      <w:numFmt w:val="upp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5B076448"/>
    <w:multiLevelType w:val="hybridMultilevel"/>
    <w:tmpl w:val="F2BE1E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641F4BD0"/>
    <w:multiLevelType w:val="hybridMultilevel"/>
    <w:tmpl w:val="520C159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7">
    <w:nsid w:val="6A1F7188"/>
    <w:multiLevelType w:val="hybridMultilevel"/>
    <w:tmpl w:val="0AC0B4D6"/>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445DEF"/>
    <w:multiLevelType w:val="hybridMultilevel"/>
    <w:tmpl w:val="CF404860"/>
    <w:lvl w:ilvl="0" w:tplc="3A5643B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D6490F"/>
    <w:multiLevelType w:val="hybridMultilevel"/>
    <w:tmpl w:val="6B42545A"/>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96191D"/>
    <w:multiLevelType w:val="hybridMultilevel"/>
    <w:tmpl w:val="4C9C62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7B665766"/>
    <w:multiLevelType w:val="hybridMultilevel"/>
    <w:tmpl w:val="DF10ED9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8B4866"/>
    <w:multiLevelType w:val="hybridMultilevel"/>
    <w:tmpl w:val="5CB622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2"/>
  </w:num>
  <w:num w:numId="6">
    <w:abstractNumId w:val="18"/>
  </w:num>
  <w:num w:numId="7">
    <w:abstractNumId w:val="10"/>
  </w:num>
  <w:num w:numId="8">
    <w:abstractNumId w:val="8"/>
  </w:num>
  <w:num w:numId="9">
    <w:abstractNumId w:val="1"/>
  </w:num>
  <w:num w:numId="10">
    <w:abstractNumId w:val="6"/>
  </w:num>
  <w:num w:numId="11">
    <w:abstractNumId w:val="16"/>
  </w:num>
  <w:num w:numId="12">
    <w:abstractNumId w:val="13"/>
  </w:num>
  <w:num w:numId="13">
    <w:abstractNumId w:val="17"/>
  </w:num>
  <w:num w:numId="14">
    <w:abstractNumId w:val="22"/>
  </w:num>
  <w:num w:numId="15">
    <w:abstractNumId w:val="11"/>
  </w:num>
  <w:num w:numId="16">
    <w:abstractNumId w:val="21"/>
  </w:num>
  <w:num w:numId="17">
    <w:abstractNumId w:val="19"/>
  </w:num>
  <w:num w:numId="18">
    <w:abstractNumId w:val="9"/>
  </w:num>
  <w:num w:numId="19">
    <w:abstractNumId w:val="15"/>
  </w:num>
  <w:num w:numId="20">
    <w:abstractNumId w:val="23"/>
  </w:num>
  <w:num w:numId="21">
    <w:abstractNumId w:val="3"/>
  </w:num>
  <w:num w:numId="22">
    <w:abstractNumId w:val="7"/>
  </w:num>
  <w:num w:numId="23">
    <w:abstractNumId w:val="2"/>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4D"/>
    <w:rsid w:val="00005681"/>
    <w:rsid w:val="00006806"/>
    <w:rsid w:val="000150BE"/>
    <w:rsid w:val="000209F8"/>
    <w:rsid w:val="000226F8"/>
    <w:rsid w:val="00022CD2"/>
    <w:rsid w:val="0003315D"/>
    <w:rsid w:val="00035147"/>
    <w:rsid w:val="000359CD"/>
    <w:rsid w:val="00035A9B"/>
    <w:rsid w:val="00035D3E"/>
    <w:rsid w:val="000372FD"/>
    <w:rsid w:val="00037810"/>
    <w:rsid w:val="000512FC"/>
    <w:rsid w:val="00061638"/>
    <w:rsid w:val="0007119E"/>
    <w:rsid w:val="000800A8"/>
    <w:rsid w:val="000824E5"/>
    <w:rsid w:val="00083C8A"/>
    <w:rsid w:val="00083E8E"/>
    <w:rsid w:val="00094258"/>
    <w:rsid w:val="000943BA"/>
    <w:rsid w:val="00097027"/>
    <w:rsid w:val="000A1F5E"/>
    <w:rsid w:val="000A2EF0"/>
    <w:rsid w:val="000A59AB"/>
    <w:rsid w:val="000A6EFA"/>
    <w:rsid w:val="000B2944"/>
    <w:rsid w:val="000C3F41"/>
    <w:rsid w:val="000C3F42"/>
    <w:rsid w:val="000C5C80"/>
    <w:rsid w:val="000C5DA1"/>
    <w:rsid w:val="000C61B2"/>
    <w:rsid w:val="000E3982"/>
    <w:rsid w:val="000E3AD2"/>
    <w:rsid w:val="000E4872"/>
    <w:rsid w:val="000F1F36"/>
    <w:rsid w:val="000F409C"/>
    <w:rsid w:val="000F4153"/>
    <w:rsid w:val="000F72BC"/>
    <w:rsid w:val="00103614"/>
    <w:rsid w:val="00105B32"/>
    <w:rsid w:val="00106D28"/>
    <w:rsid w:val="00114E27"/>
    <w:rsid w:val="00116A1A"/>
    <w:rsid w:val="00117CE9"/>
    <w:rsid w:val="00120434"/>
    <w:rsid w:val="00123CDC"/>
    <w:rsid w:val="0013217E"/>
    <w:rsid w:val="001332FB"/>
    <w:rsid w:val="0013589B"/>
    <w:rsid w:val="001552CD"/>
    <w:rsid w:val="00155B6E"/>
    <w:rsid w:val="00161381"/>
    <w:rsid w:val="001662D8"/>
    <w:rsid w:val="001721C8"/>
    <w:rsid w:val="00172CC0"/>
    <w:rsid w:val="00182BE8"/>
    <w:rsid w:val="0018663D"/>
    <w:rsid w:val="001918F7"/>
    <w:rsid w:val="001955EA"/>
    <w:rsid w:val="001A0D94"/>
    <w:rsid w:val="001A38FB"/>
    <w:rsid w:val="001A59EF"/>
    <w:rsid w:val="001A7428"/>
    <w:rsid w:val="001B71A6"/>
    <w:rsid w:val="001C12BA"/>
    <w:rsid w:val="001C14DE"/>
    <w:rsid w:val="001C2C32"/>
    <w:rsid w:val="001C5873"/>
    <w:rsid w:val="001D1A03"/>
    <w:rsid w:val="001D1CE1"/>
    <w:rsid w:val="001D7CD8"/>
    <w:rsid w:val="001E7A5E"/>
    <w:rsid w:val="001F236C"/>
    <w:rsid w:val="001F3FA7"/>
    <w:rsid w:val="00204166"/>
    <w:rsid w:val="002059C1"/>
    <w:rsid w:val="002067B3"/>
    <w:rsid w:val="00210798"/>
    <w:rsid w:val="00211DE3"/>
    <w:rsid w:val="00212B06"/>
    <w:rsid w:val="002168D6"/>
    <w:rsid w:val="00217B95"/>
    <w:rsid w:val="00222D83"/>
    <w:rsid w:val="00225BFE"/>
    <w:rsid w:val="00227C81"/>
    <w:rsid w:val="00240250"/>
    <w:rsid w:val="00240A01"/>
    <w:rsid w:val="002461BE"/>
    <w:rsid w:val="00253880"/>
    <w:rsid w:val="00260B0E"/>
    <w:rsid w:val="00263649"/>
    <w:rsid w:val="00265840"/>
    <w:rsid w:val="0026668B"/>
    <w:rsid w:val="002730E7"/>
    <w:rsid w:val="00274856"/>
    <w:rsid w:val="00283734"/>
    <w:rsid w:val="002853B4"/>
    <w:rsid w:val="0028751D"/>
    <w:rsid w:val="002913F5"/>
    <w:rsid w:val="00293CF3"/>
    <w:rsid w:val="00294C46"/>
    <w:rsid w:val="002A465B"/>
    <w:rsid w:val="002B1B9E"/>
    <w:rsid w:val="002B3272"/>
    <w:rsid w:val="002B3F3D"/>
    <w:rsid w:val="002B79FC"/>
    <w:rsid w:val="002C35AB"/>
    <w:rsid w:val="002D0CDF"/>
    <w:rsid w:val="002D3856"/>
    <w:rsid w:val="002E2A7E"/>
    <w:rsid w:val="002E7245"/>
    <w:rsid w:val="002F058F"/>
    <w:rsid w:val="002F1875"/>
    <w:rsid w:val="002F40E8"/>
    <w:rsid w:val="002F7B75"/>
    <w:rsid w:val="003072AE"/>
    <w:rsid w:val="00315362"/>
    <w:rsid w:val="00330BE7"/>
    <w:rsid w:val="00332507"/>
    <w:rsid w:val="003325B6"/>
    <w:rsid w:val="0033385A"/>
    <w:rsid w:val="0033503E"/>
    <w:rsid w:val="00335660"/>
    <w:rsid w:val="003473B2"/>
    <w:rsid w:val="00350047"/>
    <w:rsid w:val="0035020F"/>
    <w:rsid w:val="0035126E"/>
    <w:rsid w:val="0035451F"/>
    <w:rsid w:val="00354C82"/>
    <w:rsid w:val="00356672"/>
    <w:rsid w:val="00362BDE"/>
    <w:rsid w:val="00372049"/>
    <w:rsid w:val="003725E4"/>
    <w:rsid w:val="0037288A"/>
    <w:rsid w:val="003741D2"/>
    <w:rsid w:val="00377013"/>
    <w:rsid w:val="00384F1A"/>
    <w:rsid w:val="00387A11"/>
    <w:rsid w:val="003A197C"/>
    <w:rsid w:val="003B022E"/>
    <w:rsid w:val="003B077C"/>
    <w:rsid w:val="003B7B73"/>
    <w:rsid w:val="003C5909"/>
    <w:rsid w:val="003C712C"/>
    <w:rsid w:val="003D6B03"/>
    <w:rsid w:val="003D700B"/>
    <w:rsid w:val="003E1847"/>
    <w:rsid w:val="003E28CA"/>
    <w:rsid w:val="003E6245"/>
    <w:rsid w:val="003F462C"/>
    <w:rsid w:val="00402EA9"/>
    <w:rsid w:val="00413E26"/>
    <w:rsid w:val="00417135"/>
    <w:rsid w:val="004258ED"/>
    <w:rsid w:val="004331BA"/>
    <w:rsid w:val="00435C74"/>
    <w:rsid w:val="00444E8B"/>
    <w:rsid w:val="00445174"/>
    <w:rsid w:val="0045464F"/>
    <w:rsid w:val="00454796"/>
    <w:rsid w:val="004563C8"/>
    <w:rsid w:val="00463DCF"/>
    <w:rsid w:val="004651DF"/>
    <w:rsid w:val="00472F74"/>
    <w:rsid w:val="004735DB"/>
    <w:rsid w:val="00474485"/>
    <w:rsid w:val="00475F85"/>
    <w:rsid w:val="004828D3"/>
    <w:rsid w:val="00486412"/>
    <w:rsid w:val="00491160"/>
    <w:rsid w:val="0049146A"/>
    <w:rsid w:val="004935F2"/>
    <w:rsid w:val="00493B65"/>
    <w:rsid w:val="004A2A9F"/>
    <w:rsid w:val="004A3F68"/>
    <w:rsid w:val="004A494A"/>
    <w:rsid w:val="004A5381"/>
    <w:rsid w:val="004A700B"/>
    <w:rsid w:val="004B0400"/>
    <w:rsid w:val="004B19A9"/>
    <w:rsid w:val="004B2094"/>
    <w:rsid w:val="004B2C60"/>
    <w:rsid w:val="004B77FC"/>
    <w:rsid w:val="004C0542"/>
    <w:rsid w:val="004D034A"/>
    <w:rsid w:val="004D4BC9"/>
    <w:rsid w:val="004D67CD"/>
    <w:rsid w:val="004E0B74"/>
    <w:rsid w:val="004F74DE"/>
    <w:rsid w:val="005044C6"/>
    <w:rsid w:val="005064F0"/>
    <w:rsid w:val="005101F7"/>
    <w:rsid w:val="00516A5C"/>
    <w:rsid w:val="00520C82"/>
    <w:rsid w:val="00521DC4"/>
    <w:rsid w:val="00523C31"/>
    <w:rsid w:val="005266AA"/>
    <w:rsid w:val="00526E3B"/>
    <w:rsid w:val="00527607"/>
    <w:rsid w:val="00530F4A"/>
    <w:rsid w:val="005313BC"/>
    <w:rsid w:val="00531F1E"/>
    <w:rsid w:val="005323C6"/>
    <w:rsid w:val="0053306E"/>
    <w:rsid w:val="00533B94"/>
    <w:rsid w:val="00533FD2"/>
    <w:rsid w:val="00536C64"/>
    <w:rsid w:val="00541DC1"/>
    <w:rsid w:val="005506D6"/>
    <w:rsid w:val="00551191"/>
    <w:rsid w:val="00554844"/>
    <w:rsid w:val="0056210B"/>
    <w:rsid w:val="0056251F"/>
    <w:rsid w:val="005630E7"/>
    <w:rsid w:val="00570D05"/>
    <w:rsid w:val="00583B45"/>
    <w:rsid w:val="005905C2"/>
    <w:rsid w:val="005917AE"/>
    <w:rsid w:val="005925B6"/>
    <w:rsid w:val="005976C4"/>
    <w:rsid w:val="005A38B3"/>
    <w:rsid w:val="005A664C"/>
    <w:rsid w:val="005B0232"/>
    <w:rsid w:val="005B2AF6"/>
    <w:rsid w:val="005C4131"/>
    <w:rsid w:val="005D33C2"/>
    <w:rsid w:val="005D3F27"/>
    <w:rsid w:val="005D44A4"/>
    <w:rsid w:val="005D4C4D"/>
    <w:rsid w:val="005D546F"/>
    <w:rsid w:val="005D6C51"/>
    <w:rsid w:val="005E0B00"/>
    <w:rsid w:val="005E7711"/>
    <w:rsid w:val="005F14EF"/>
    <w:rsid w:val="005F174D"/>
    <w:rsid w:val="005F4140"/>
    <w:rsid w:val="00600995"/>
    <w:rsid w:val="00601057"/>
    <w:rsid w:val="00603981"/>
    <w:rsid w:val="00603E8E"/>
    <w:rsid w:val="00607866"/>
    <w:rsid w:val="0061340A"/>
    <w:rsid w:val="00613D43"/>
    <w:rsid w:val="006251C1"/>
    <w:rsid w:val="00635911"/>
    <w:rsid w:val="0065305B"/>
    <w:rsid w:val="00654A79"/>
    <w:rsid w:val="00656E91"/>
    <w:rsid w:val="00662A0F"/>
    <w:rsid w:val="00670340"/>
    <w:rsid w:val="00675C69"/>
    <w:rsid w:val="00676008"/>
    <w:rsid w:val="00677B45"/>
    <w:rsid w:val="00682D25"/>
    <w:rsid w:val="0068485E"/>
    <w:rsid w:val="00687F6F"/>
    <w:rsid w:val="0069059C"/>
    <w:rsid w:val="00691981"/>
    <w:rsid w:val="0069250F"/>
    <w:rsid w:val="00693ED6"/>
    <w:rsid w:val="00697879"/>
    <w:rsid w:val="006A5B5A"/>
    <w:rsid w:val="006B2096"/>
    <w:rsid w:val="006C24A9"/>
    <w:rsid w:val="006C7363"/>
    <w:rsid w:val="006D20BA"/>
    <w:rsid w:val="006D645E"/>
    <w:rsid w:val="006E1B35"/>
    <w:rsid w:val="006E1B5A"/>
    <w:rsid w:val="006E1BC3"/>
    <w:rsid w:val="006E36F3"/>
    <w:rsid w:val="006E3831"/>
    <w:rsid w:val="006E44BB"/>
    <w:rsid w:val="006E67C4"/>
    <w:rsid w:val="006F4BA2"/>
    <w:rsid w:val="006F5910"/>
    <w:rsid w:val="00701296"/>
    <w:rsid w:val="00701D7D"/>
    <w:rsid w:val="00704730"/>
    <w:rsid w:val="007053CF"/>
    <w:rsid w:val="007070D0"/>
    <w:rsid w:val="00710466"/>
    <w:rsid w:val="007137F7"/>
    <w:rsid w:val="00714894"/>
    <w:rsid w:val="007154CE"/>
    <w:rsid w:val="0072307E"/>
    <w:rsid w:val="0072591D"/>
    <w:rsid w:val="00727179"/>
    <w:rsid w:val="00727ED1"/>
    <w:rsid w:val="00740F03"/>
    <w:rsid w:val="007427D4"/>
    <w:rsid w:val="00752C6B"/>
    <w:rsid w:val="00764079"/>
    <w:rsid w:val="00766998"/>
    <w:rsid w:val="0077104B"/>
    <w:rsid w:val="00771F55"/>
    <w:rsid w:val="00773961"/>
    <w:rsid w:val="0077440D"/>
    <w:rsid w:val="00775A30"/>
    <w:rsid w:val="00777F68"/>
    <w:rsid w:val="00777FC6"/>
    <w:rsid w:val="007A68B2"/>
    <w:rsid w:val="007B314C"/>
    <w:rsid w:val="007C1DC6"/>
    <w:rsid w:val="007C6046"/>
    <w:rsid w:val="007C63CC"/>
    <w:rsid w:val="007E1B08"/>
    <w:rsid w:val="007F1631"/>
    <w:rsid w:val="007F3944"/>
    <w:rsid w:val="007F5272"/>
    <w:rsid w:val="007F5BF2"/>
    <w:rsid w:val="007F76F2"/>
    <w:rsid w:val="0080618D"/>
    <w:rsid w:val="00814BB4"/>
    <w:rsid w:val="00815488"/>
    <w:rsid w:val="00815E85"/>
    <w:rsid w:val="0082449A"/>
    <w:rsid w:val="00824A81"/>
    <w:rsid w:val="008306D4"/>
    <w:rsid w:val="008346CA"/>
    <w:rsid w:val="00834BCC"/>
    <w:rsid w:val="0083795F"/>
    <w:rsid w:val="008455D5"/>
    <w:rsid w:val="00846DC5"/>
    <w:rsid w:val="00851BB4"/>
    <w:rsid w:val="0085475D"/>
    <w:rsid w:val="00855B96"/>
    <w:rsid w:val="00871681"/>
    <w:rsid w:val="00877A3D"/>
    <w:rsid w:val="00885D91"/>
    <w:rsid w:val="00891DC1"/>
    <w:rsid w:val="00895AE4"/>
    <w:rsid w:val="008A4353"/>
    <w:rsid w:val="008A7BD9"/>
    <w:rsid w:val="008B286F"/>
    <w:rsid w:val="008C1A0F"/>
    <w:rsid w:val="008C1BB8"/>
    <w:rsid w:val="008C3D71"/>
    <w:rsid w:val="008C5C1C"/>
    <w:rsid w:val="008D3203"/>
    <w:rsid w:val="008E001F"/>
    <w:rsid w:val="008E09D0"/>
    <w:rsid w:val="008E1145"/>
    <w:rsid w:val="008E285A"/>
    <w:rsid w:val="008E5A73"/>
    <w:rsid w:val="008F289B"/>
    <w:rsid w:val="008F7B19"/>
    <w:rsid w:val="00900C7F"/>
    <w:rsid w:val="00903458"/>
    <w:rsid w:val="00903C3C"/>
    <w:rsid w:val="009051BE"/>
    <w:rsid w:val="0091176F"/>
    <w:rsid w:val="00912361"/>
    <w:rsid w:val="009142E5"/>
    <w:rsid w:val="00915EC3"/>
    <w:rsid w:val="009176DB"/>
    <w:rsid w:val="00922EBF"/>
    <w:rsid w:val="00926E63"/>
    <w:rsid w:val="00934EA9"/>
    <w:rsid w:val="00941E4F"/>
    <w:rsid w:val="00945E7B"/>
    <w:rsid w:val="0094682F"/>
    <w:rsid w:val="009538B4"/>
    <w:rsid w:val="0096047C"/>
    <w:rsid w:val="009620A8"/>
    <w:rsid w:val="0096633B"/>
    <w:rsid w:val="0096749E"/>
    <w:rsid w:val="00971E0D"/>
    <w:rsid w:val="00972FEF"/>
    <w:rsid w:val="00986C1F"/>
    <w:rsid w:val="00995E4A"/>
    <w:rsid w:val="009B17D6"/>
    <w:rsid w:val="009B2610"/>
    <w:rsid w:val="009B2ED0"/>
    <w:rsid w:val="009B3D3E"/>
    <w:rsid w:val="009B5A72"/>
    <w:rsid w:val="009C004C"/>
    <w:rsid w:val="009D3912"/>
    <w:rsid w:val="009D3FFE"/>
    <w:rsid w:val="009D6722"/>
    <w:rsid w:val="009D7937"/>
    <w:rsid w:val="009E0A5A"/>
    <w:rsid w:val="009E34F6"/>
    <w:rsid w:val="009E6D5E"/>
    <w:rsid w:val="009F6875"/>
    <w:rsid w:val="00A01542"/>
    <w:rsid w:val="00A01D6B"/>
    <w:rsid w:val="00A04E24"/>
    <w:rsid w:val="00A06DE4"/>
    <w:rsid w:val="00A10B89"/>
    <w:rsid w:val="00A20074"/>
    <w:rsid w:val="00A21178"/>
    <w:rsid w:val="00A24256"/>
    <w:rsid w:val="00A27069"/>
    <w:rsid w:val="00A32774"/>
    <w:rsid w:val="00A3538B"/>
    <w:rsid w:val="00A36D0D"/>
    <w:rsid w:val="00A4088F"/>
    <w:rsid w:val="00A40943"/>
    <w:rsid w:val="00A4396F"/>
    <w:rsid w:val="00A45D10"/>
    <w:rsid w:val="00A47CCA"/>
    <w:rsid w:val="00A50E23"/>
    <w:rsid w:val="00A51044"/>
    <w:rsid w:val="00A60507"/>
    <w:rsid w:val="00A65250"/>
    <w:rsid w:val="00A7570E"/>
    <w:rsid w:val="00A765CE"/>
    <w:rsid w:val="00A77C53"/>
    <w:rsid w:val="00A8286B"/>
    <w:rsid w:val="00A840F5"/>
    <w:rsid w:val="00A905DF"/>
    <w:rsid w:val="00A97EDB"/>
    <w:rsid w:val="00AA5C80"/>
    <w:rsid w:val="00AA7C75"/>
    <w:rsid w:val="00AB1A3D"/>
    <w:rsid w:val="00AB1B1F"/>
    <w:rsid w:val="00AC4B4B"/>
    <w:rsid w:val="00AC5820"/>
    <w:rsid w:val="00AD08CE"/>
    <w:rsid w:val="00AD0F68"/>
    <w:rsid w:val="00AD3823"/>
    <w:rsid w:val="00AD6B0C"/>
    <w:rsid w:val="00AE0538"/>
    <w:rsid w:val="00AE12E9"/>
    <w:rsid w:val="00AF08EC"/>
    <w:rsid w:val="00AF5A15"/>
    <w:rsid w:val="00AF7455"/>
    <w:rsid w:val="00AF79B7"/>
    <w:rsid w:val="00B05FE6"/>
    <w:rsid w:val="00B10289"/>
    <w:rsid w:val="00B10A93"/>
    <w:rsid w:val="00B10F8A"/>
    <w:rsid w:val="00B11021"/>
    <w:rsid w:val="00B1424E"/>
    <w:rsid w:val="00B17A5F"/>
    <w:rsid w:val="00B23FD9"/>
    <w:rsid w:val="00B35F74"/>
    <w:rsid w:val="00B4694E"/>
    <w:rsid w:val="00B5509D"/>
    <w:rsid w:val="00B60D6F"/>
    <w:rsid w:val="00B647CA"/>
    <w:rsid w:val="00B64C35"/>
    <w:rsid w:val="00B72E67"/>
    <w:rsid w:val="00B72FD0"/>
    <w:rsid w:val="00B7705C"/>
    <w:rsid w:val="00B80F0F"/>
    <w:rsid w:val="00B822CF"/>
    <w:rsid w:val="00B84406"/>
    <w:rsid w:val="00B8588B"/>
    <w:rsid w:val="00B86D66"/>
    <w:rsid w:val="00B876E7"/>
    <w:rsid w:val="00B92D4E"/>
    <w:rsid w:val="00B93406"/>
    <w:rsid w:val="00B949C8"/>
    <w:rsid w:val="00BA0E6F"/>
    <w:rsid w:val="00BA1074"/>
    <w:rsid w:val="00BA385D"/>
    <w:rsid w:val="00BB77BA"/>
    <w:rsid w:val="00BC75F6"/>
    <w:rsid w:val="00BD2CF5"/>
    <w:rsid w:val="00BD2F94"/>
    <w:rsid w:val="00BD3B30"/>
    <w:rsid w:val="00BD4A81"/>
    <w:rsid w:val="00BD7D8B"/>
    <w:rsid w:val="00BE0411"/>
    <w:rsid w:val="00BE052E"/>
    <w:rsid w:val="00BE6C6D"/>
    <w:rsid w:val="00BF2C68"/>
    <w:rsid w:val="00BF345E"/>
    <w:rsid w:val="00C0207D"/>
    <w:rsid w:val="00C04168"/>
    <w:rsid w:val="00C042C7"/>
    <w:rsid w:val="00C045D2"/>
    <w:rsid w:val="00C05488"/>
    <w:rsid w:val="00C10CA3"/>
    <w:rsid w:val="00C1367B"/>
    <w:rsid w:val="00C13FA7"/>
    <w:rsid w:val="00C170ED"/>
    <w:rsid w:val="00C21B6C"/>
    <w:rsid w:val="00C26D2B"/>
    <w:rsid w:val="00C3282B"/>
    <w:rsid w:val="00C40145"/>
    <w:rsid w:val="00C40556"/>
    <w:rsid w:val="00C44636"/>
    <w:rsid w:val="00C52909"/>
    <w:rsid w:val="00C5428A"/>
    <w:rsid w:val="00C56C4C"/>
    <w:rsid w:val="00C612D6"/>
    <w:rsid w:val="00C612F5"/>
    <w:rsid w:val="00C618BF"/>
    <w:rsid w:val="00C64350"/>
    <w:rsid w:val="00C73655"/>
    <w:rsid w:val="00C75D40"/>
    <w:rsid w:val="00C769C9"/>
    <w:rsid w:val="00C83A76"/>
    <w:rsid w:val="00C83DA1"/>
    <w:rsid w:val="00C93F91"/>
    <w:rsid w:val="00C94258"/>
    <w:rsid w:val="00C9523E"/>
    <w:rsid w:val="00C95B34"/>
    <w:rsid w:val="00C95F06"/>
    <w:rsid w:val="00CA1732"/>
    <w:rsid w:val="00CA2DFA"/>
    <w:rsid w:val="00CA7E5E"/>
    <w:rsid w:val="00CB09C1"/>
    <w:rsid w:val="00CB1DA6"/>
    <w:rsid w:val="00CB5086"/>
    <w:rsid w:val="00CB6B73"/>
    <w:rsid w:val="00CC1BAC"/>
    <w:rsid w:val="00CC2F8A"/>
    <w:rsid w:val="00CC37F9"/>
    <w:rsid w:val="00CC3908"/>
    <w:rsid w:val="00CC5782"/>
    <w:rsid w:val="00CD0532"/>
    <w:rsid w:val="00CD3C50"/>
    <w:rsid w:val="00CD4C5D"/>
    <w:rsid w:val="00CE3DFC"/>
    <w:rsid w:val="00CE5596"/>
    <w:rsid w:val="00CF6B23"/>
    <w:rsid w:val="00CF6FA6"/>
    <w:rsid w:val="00D04213"/>
    <w:rsid w:val="00D1078F"/>
    <w:rsid w:val="00D30906"/>
    <w:rsid w:val="00D324EB"/>
    <w:rsid w:val="00D327A9"/>
    <w:rsid w:val="00D3500F"/>
    <w:rsid w:val="00D44004"/>
    <w:rsid w:val="00D46E89"/>
    <w:rsid w:val="00D5019E"/>
    <w:rsid w:val="00D52515"/>
    <w:rsid w:val="00D52D74"/>
    <w:rsid w:val="00D555A4"/>
    <w:rsid w:val="00D73706"/>
    <w:rsid w:val="00D74C9D"/>
    <w:rsid w:val="00D90D6C"/>
    <w:rsid w:val="00DA0D01"/>
    <w:rsid w:val="00DA2561"/>
    <w:rsid w:val="00DA67C6"/>
    <w:rsid w:val="00DA7454"/>
    <w:rsid w:val="00DA7B6B"/>
    <w:rsid w:val="00DB3198"/>
    <w:rsid w:val="00DB6773"/>
    <w:rsid w:val="00DC4CD4"/>
    <w:rsid w:val="00DD64C0"/>
    <w:rsid w:val="00DE11B2"/>
    <w:rsid w:val="00DE45FB"/>
    <w:rsid w:val="00DE5CF6"/>
    <w:rsid w:val="00DE6018"/>
    <w:rsid w:val="00DF2670"/>
    <w:rsid w:val="00DF72E5"/>
    <w:rsid w:val="00DF735B"/>
    <w:rsid w:val="00E03E41"/>
    <w:rsid w:val="00E04FE9"/>
    <w:rsid w:val="00E21168"/>
    <w:rsid w:val="00E21EE8"/>
    <w:rsid w:val="00E23A99"/>
    <w:rsid w:val="00E273E7"/>
    <w:rsid w:val="00E30012"/>
    <w:rsid w:val="00E30D73"/>
    <w:rsid w:val="00E32A3E"/>
    <w:rsid w:val="00E34CB9"/>
    <w:rsid w:val="00E355D8"/>
    <w:rsid w:val="00E3691F"/>
    <w:rsid w:val="00E406B1"/>
    <w:rsid w:val="00E44776"/>
    <w:rsid w:val="00E44D19"/>
    <w:rsid w:val="00E519E0"/>
    <w:rsid w:val="00E542C4"/>
    <w:rsid w:val="00E60CE2"/>
    <w:rsid w:val="00E60EA3"/>
    <w:rsid w:val="00E61305"/>
    <w:rsid w:val="00E620C7"/>
    <w:rsid w:val="00E73998"/>
    <w:rsid w:val="00E863EB"/>
    <w:rsid w:val="00E9419C"/>
    <w:rsid w:val="00E9623A"/>
    <w:rsid w:val="00EA0EF8"/>
    <w:rsid w:val="00EA4D64"/>
    <w:rsid w:val="00EA6F85"/>
    <w:rsid w:val="00EB300C"/>
    <w:rsid w:val="00EB5CBE"/>
    <w:rsid w:val="00EB5F90"/>
    <w:rsid w:val="00EB7189"/>
    <w:rsid w:val="00EC1C61"/>
    <w:rsid w:val="00EC4BF0"/>
    <w:rsid w:val="00EC4C3C"/>
    <w:rsid w:val="00EC4CED"/>
    <w:rsid w:val="00EC5640"/>
    <w:rsid w:val="00ED0EEB"/>
    <w:rsid w:val="00ED14DF"/>
    <w:rsid w:val="00ED2E19"/>
    <w:rsid w:val="00ED3C21"/>
    <w:rsid w:val="00ED6660"/>
    <w:rsid w:val="00ED7D23"/>
    <w:rsid w:val="00EE5600"/>
    <w:rsid w:val="00EE693B"/>
    <w:rsid w:val="00EF18E8"/>
    <w:rsid w:val="00EF1FDC"/>
    <w:rsid w:val="00EF7125"/>
    <w:rsid w:val="00F001E4"/>
    <w:rsid w:val="00F02608"/>
    <w:rsid w:val="00F0793A"/>
    <w:rsid w:val="00F260C7"/>
    <w:rsid w:val="00F26603"/>
    <w:rsid w:val="00F3031D"/>
    <w:rsid w:val="00F31074"/>
    <w:rsid w:val="00F41061"/>
    <w:rsid w:val="00F42C47"/>
    <w:rsid w:val="00F65931"/>
    <w:rsid w:val="00F65A44"/>
    <w:rsid w:val="00F67BAC"/>
    <w:rsid w:val="00F745A2"/>
    <w:rsid w:val="00F74CCF"/>
    <w:rsid w:val="00F7569D"/>
    <w:rsid w:val="00F75F74"/>
    <w:rsid w:val="00F860AC"/>
    <w:rsid w:val="00F920EE"/>
    <w:rsid w:val="00F932C4"/>
    <w:rsid w:val="00F93E02"/>
    <w:rsid w:val="00FA5461"/>
    <w:rsid w:val="00FA5881"/>
    <w:rsid w:val="00FA5DBE"/>
    <w:rsid w:val="00FB743D"/>
    <w:rsid w:val="00FB7C22"/>
    <w:rsid w:val="00FC4E1A"/>
    <w:rsid w:val="00FC5E67"/>
    <w:rsid w:val="00FD54EE"/>
    <w:rsid w:val="00FD555E"/>
    <w:rsid w:val="00FE1DBF"/>
    <w:rsid w:val="00FE49DE"/>
    <w:rsid w:val="00FE49E4"/>
    <w:rsid w:val="00FE561E"/>
    <w:rsid w:val="00FF187D"/>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5600"/>
    <w:rPr>
      <w:rFonts w:ascii="Arial" w:hAnsi="Arial"/>
      <w:sz w:val="24"/>
      <w:szCs w:val="24"/>
      <w:lang w:eastAsia="en-US"/>
    </w:rPr>
  </w:style>
  <w:style w:type="paragraph" w:styleId="Heading1">
    <w:name w:val="heading 1"/>
    <w:basedOn w:val="Normal"/>
    <w:next w:val="Normal"/>
    <w:qFormat/>
    <w:rsid w:val="005D4C4D"/>
    <w:pPr>
      <w:keepNext/>
      <w:outlineLvl w:val="0"/>
    </w:pPr>
    <w:rPr>
      <w:b/>
      <w:bCs/>
    </w:rPr>
  </w:style>
  <w:style w:type="paragraph" w:styleId="Heading4">
    <w:name w:val="heading 4"/>
    <w:basedOn w:val="Normal"/>
    <w:next w:val="Normal"/>
    <w:qFormat/>
    <w:rsid w:val="009B2ED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4C4D"/>
    <w:rPr>
      <w:sz w:val="16"/>
      <w:szCs w:val="16"/>
    </w:rPr>
  </w:style>
  <w:style w:type="paragraph" w:styleId="CommentText">
    <w:name w:val="annotation text"/>
    <w:basedOn w:val="Normal"/>
    <w:semiHidden/>
    <w:rsid w:val="005D4C4D"/>
    <w:rPr>
      <w:sz w:val="20"/>
      <w:szCs w:val="20"/>
    </w:rPr>
  </w:style>
  <w:style w:type="paragraph" w:styleId="BalloonText">
    <w:name w:val="Balloon Text"/>
    <w:basedOn w:val="Normal"/>
    <w:semiHidden/>
    <w:rsid w:val="005D4C4D"/>
    <w:rPr>
      <w:rFonts w:ascii="Tahoma" w:hAnsi="Tahoma" w:cs="Tahoma"/>
      <w:sz w:val="16"/>
      <w:szCs w:val="16"/>
    </w:rPr>
  </w:style>
  <w:style w:type="table" w:styleId="TableGrid">
    <w:name w:val="Table Grid"/>
    <w:basedOn w:val="TableNormal"/>
    <w:rsid w:val="006E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E355D8"/>
    <w:rPr>
      <w:b/>
      <w:bCs/>
    </w:rPr>
  </w:style>
  <w:style w:type="paragraph" w:styleId="Header">
    <w:name w:val="header"/>
    <w:basedOn w:val="Normal"/>
    <w:rsid w:val="00035147"/>
    <w:pPr>
      <w:tabs>
        <w:tab w:val="center" w:pos="4320"/>
        <w:tab w:val="right" w:pos="8640"/>
      </w:tabs>
    </w:pPr>
  </w:style>
  <w:style w:type="paragraph" w:styleId="Footer">
    <w:name w:val="footer"/>
    <w:basedOn w:val="Normal"/>
    <w:rsid w:val="00035147"/>
    <w:pPr>
      <w:tabs>
        <w:tab w:val="center" w:pos="4320"/>
        <w:tab w:val="right" w:pos="8640"/>
      </w:tabs>
    </w:pPr>
  </w:style>
  <w:style w:type="paragraph" w:styleId="BodyText">
    <w:name w:val="Body Text"/>
    <w:basedOn w:val="Normal"/>
    <w:rsid w:val="007F5BF2"/>
    <w:pPr>
      <w:autoSpaceDE w:val="0"/>
      <w:autoSpaceDN w:val="0"/>
      <w:adjustRightInd w:val="0"/>
      <w:jc w:val="center"/>
    </w:pPr>
    <w:rPr>
      <w:rFonts w:ascii="Verdana" w:hAnsi="Verdana"/>
      <w:b/>
      <w:bCs/>
      <w:color w:val="000000"/>
      <w:sz w:val="18"/>
      <w:szCs w:val="28"/>
    </w:rPr>
  </w:style>
  <w:style w:type="paragraph" w:styleId="DocumentMap">
    <w:name w:val="Document Map"/>
    <w:basedOn w:val="Normal"/>
    <w:semiHidden/>
    <w:rsid w:val="00B7705C"/>
    <w:pPr>
      <w:shd w:val="clear" w:color="auto" w:fill="000080"/>
    </w:pPr>
    <w:rPr>
      <w:rFonts w:ascii="Tahoma" w:hAnsi="Tahoma" w:cs="Tahoma"/>
      <w:sz w:val="20"/>
      <w:szCs w:val="20"/>
    </w:rPr>
  </w:style>
  <w:style w:type="character" w:styleId="Hyperlink">
    <w:name w:val="Hyperlink"/>
    <w:rsid w:val="00330BE7"/>
    <w:rPr>
      <w:color w:val="0000FF"/>
      <w:u w:val="single"/>
    </w:rPr>
  </w:style>
  <w:style w:type="paragraph" w:styleId="ListParagraph">
    <w:name w:val="List Paragraph"/>
    <w:basedOn w:val="Normal"/>
    <w:uiPriority w:val="34"/>
    <w:qFormat/>
    <w:rsid w:val="00EA6F85"/>
    <w:pPr>
      <w:ind w:left="720"/>
    </w:pPr>
  </w:style>
  <w:style w:type="table" w:customStyle="1" w:styleId="TableGrid1">
    <w:name w:val="Table Grid1"/>
    <w:basedOn w:val="TableNormal"/>
    <w:next w:val="TableGrid"/>
    <w:uiPriority w:val="59"/>
    <w:rsid w:val="00C73655"/>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091">
      <w:bodyDiv w:val="1"/>
      <w:marLeft w:val="0"/>
      <w:marRight w:val="0"/>
      <w:marTop w:val="0"/>
      <w:marBottom w:val="0"/>
      <w:divBdr>
        <w:top w:val="none" w:sz="0" w:space="0" w:color="auto"/>
        <w:left w:val="none" w:sz="0" w:space="0" w:color="auto"/>
        <w:bottom w:val="none" w:sz="0" w:space="0" w:color="auto"/>
        <w:right w:val="none" w:sz="0" w:space="0" w:color="auto"/>
      </w:divBdr>
    </w:div>
    <w:div w:id="101807062">
      <w:bodyDiv w:val="1"/>
      <w:marLeft w:val="0"/>
      <w:marRight w:val="0"/>
      <w:marTop w:val="0"/>
      <w:marBottom w:val="0"/>
      <w:divBdr>
        <w:top w:val="none" w:sz="0" w:space="0" w:color="auto"/>
        <w:left w:val="none" w:sz="0" w:space="0" w:color="auto"/>
        <w:bottom w:val="none" w:sz="0" w:space="0" w:color="auto"/>
        <w:right w:val="none" w:sz="0" w:space="0" w:color="auto"/>
      </w:divBdr>
    </w:div>
    <w:div w:id="130514847">
      <w:bodyDiv w:val="1"/>
      <w:marLeft w:val="0"/>
      <w:marRight w:val="0"/>
      <w:marTop w:val="0"/>
      <w:marBottom w:val="0"/>
      <w:divBdr>
        <w:top w:val="none" w:sz="0" w:space="0" w:color="auto"/>
        <w:left w:val="none" w:sz="0" w:space="0" w:color="auto"/>
        <w:bottom w:val="none" w:sz="0" w:space="0" w:color="auto"/>
        <w:right w:val="none" w:sz="0" w:space="0" w:color="auto"/>
      </w:divBdr>
    </w:div>
    <w:div w:id="220219688">
      <w:bodyDiv w:val="1"/>
      <w:marLeft w:val="0"/>
      <w:marRight w:val="0"/>
      <w:marTop w:val="0"/>
      <w:marBottom w:val="0"/>
      <w:divBdr>
        <w:top w:val="none" w:sz="0" w:space="0" w:color="auto"/>
        <w:left w:val="none" w:sz="0" w:space="0" w:color="auto"/>
        <w:bottom w:val="none" w:sz="0" w:space="0" w:color="auto"/>
        <w:right w:val="none" w:sz="0" w:space="0" w:color="auto"/>
      </w:divBdr>
    </w:div>
    <w:div w:id="284846750">
      <w:bodyDiv w:val="1"/>
      <w:marLeft w:val="0"/>
      <w:marRight w:val="0"/>
      <w:marTop w:val="0"/>
      <w:marBottom w:val="0"/>
      <w:divBdr>
        <w:top w:val="none" w:sz="0" w:space="0" w:color="auto"/>
        <w:left w:val="none" w:sz="0" w:space="0" w:color="auto"/>
        <w:bottom w:val="none" w:sz="0" w:space="0" w:color="auto"/>
        <w:right w:val="none" w:sz="0" w:space="0" w:color="auto"/>
      </w:divBdr>
    </w:div>
    <w:div w:id="321273747">
      <w:bodyDiv w:val="1"/>
      <w:marLeft w:val="0"/>
      <w:marRight w:val="0"/>
      <w:marTop w:val="0"/>
      <w:marBottom w:val="0"/>
      <w:divBdr>
        <w:top w:val="none" w:sz="0" w:space="0" w:color="auto"/>
        <w:left w:val="none" w:sz="0" w:space="0" w:color="auto"/>
        <w:bottom w:val="none" w:sz="0" w:space="0" w:color="auto"/>
        <w:right w:val="none" w:sz="0" w:space="0" w:color="auto"/>
      </w:divBdr>
    </w:div>
    <w:div w:id="688068561">
      <w:bodyDiv w:val="1"/>
      <w:marLeft w:val="0"/>
      <w:marRight w:val="0"/>
      <w:marTop w:val="0"/>
      <w:marBottom w:val="0"/>
      <w:divBdr>
        <w:top w:val="none" w:sz="0" w:space="0" w:color="auto"/>
        <w:left w:val="none" w:sz="0" w:space="0" w:color="auto"/>
        <w:bottom w:val="none" w:sz="0" w:space="0" w:color="auto"/>
        <w:right w:val="none" w:sz="0" w:space="0" w:color="auto"/>
      </w:divBdr>
    </w:div>
    <w:div w:id="777526908">
      <w:bodyDiv w:val="1"/>
      <w:marLeft w:val="0"/>
      <w:marRight w:val="0"/>
      <w:marTop w:val="0"/>
      <w:marBottom w:val="0"/>
      <w:divBdr>
        <w:top w:val="none" w:sz="0" w:space="0" w:color="auto"/>
        <w:left w:val="none" w:sz="0" w:space="0" w:color="auto"/>
        <w:bottom w:val="none" w:sz="0" w:space="0" w:color="auto"/>
        <w:right w:val="none" w:sz="0" w:space="0" w:color="auto"/>
      </w:divBdr>
    </w:div>
    <w:div w:id="877158026">
      <w:bodyDiv w:val="1"/>
      <w:marLeft w:val="0"/>
      <w:marRight w:val="0"/>
      <w:marTop w:val="0"/>
      <w:marBottom w:val="0"/>
      <w:divBdr>
        <w:top w:val="none" w:sz="0" w:space="0" w:color="auto"/>
        <w:left w:val="none" w:sz="0" w:space="0" w:color="auto"/>
        <w:bottom w:val="none" w:sz="0" w:space="0" w:color="auto"/>
        <w:right w:val="none" w:sz="0" w:space="0" w:color="auto"/>
      </w:divBdr>
    </w:div>
    <w:div w:id="922639725">
      <w:bodyDiv w:val="1"/>
      <w:marLeft w:val="0"/>
      <w:marRight w:val="0"/>
      <w:marTop w:val="0"/>
      <w:marBottom w:val="0"/>
      <w:divBdr>
        <w:top w:val="none" w:sz="0" w:space="0" w:color="auto"/>
        <w:left w:val="none" w:sz="0" w:space="0" w:color="auto"/>
        <w:bottom w:val="none" w:sz="0" w:space="0" w:color="auto"/>
        <w:right w:val="none" w:sz="0" w:space="0" w:color="auto"/>
      </w:divBdr>
    </w:div>
    <w:div w:id="974602867">
      <w:bodyDiv w:val="1"/>
      <w:marLeft w:val="0"/>
      <w:marRight w:val="0"/>
      <w:marTop w:val="0"/>
      <w:marBottom w:val="0"/>
      <w:divBdr>
        <w:top w:val="none" w:sz="0" w:space="0" w:color="auto"/>
        <w:left w:val="none" w:sz="0" w:space="0" w:color="auto"/>
        <w:bottom w:val="none" w:sz="0" w:space="0" w:color="auto"/>
        <w:right w:val="none" w:sz="0" w:space="0" w:color="auto"/>
      </w:divBdr>
    </w:div>
    <w:div w:id="981931627">
      <w:bodyDiv w:val="1"/>
      <w:marLeft w:val="0"/>
      <w:marRight w:val="0"/>
      <w:marTop w:val="0"/>
      <w:marBottom w:val="0"/>
      <w:divBdr>
        <w:top w:val="none" w:sz="0" w:space="0" w:color="auto"/>
        <w:left w:val="none" w:sz="0" w:space="0" w:color="auto"/>
        <w:bottom w:val="none" w:sz="0" w:space="0" w:color="auto"/>
        <w:right w:val="none" w:sz="0" w:space="0" w:color="auto"/>
      </w:divBdr>
    </w:div>
    <w:div w:id="988753568">
      <w:bodyDiv w:val="1"/>
      <w:marLeft w:val="0"/>
      <w:marRight w:val="0"/>
      <w:marTop w:val="0"/>
      <w:marBottom w:val="0"/>
      <w:divBdr>
        <w:top w:val="none" w:sz="0" w:space="0" w:color="auto"/>
        <w:left w:val="none" w:sz="0" w:space="0" w:color="auto"/>
        <w:bottom w:val="none" w:sz="0" w:space="0" w:color="auto"/>
        <w:right w:val="none" w:sz="0" w:space="0" w:color="auto"/>
      </w:divBdr>
    </w:div>
    <w:div w:id="1047879608">
      <w:bodyDiv w:val="1"/>
      <w:marLeft w:val="0"/>
      <w:marRight w:val="0"/>
      <w:marTop w:val="0"/>
      <w:marBottom w:val="0"/>
      <w:divBdr>
        <w:top w:val="none" w:sz="0" w:space="0" w:color="auto"/>
        <w:left w:val="none" w:sz="0" w:space="0" w:color="auto"/>
        <w:bottom w:val="none" w:sz="0" w:space="0" w:color="auto"/>
        <w:right w:val="none" w:sz="0" w:space="0" w:color="auto"/>
      </w:divBdr>
    </w:div>
    <w:div w:id="1052773561">
      <w:bodyDiv w:val="1"/>
      <w:marLeft w:val="0"/>
      <w:marRight w:val="0"/>
      <w:marTop w:val="0"/>
      <w:marBottom w:val="0"/>
      <w:divBdr>
        <w:top w:val="none" w:sz="0" w:space="0" w:color="auto"/>
        <w:left w:val="none" w:sz="0" w:space="0" w:color="auto"/>
        <w:bottom w:val="none" w:sz="0" w:space="0" w:color="auto"/>
        <w:right w:val="none" w:sz="0" w:space="0" w:color="auto"/>
      </w:divBdr>
    </w:div>
    <w:div w:id="1122306137">
      <w:bodyDiv w:val="1"/>
      <w:marLeft w:val="0"/>
      <w:marRight w:val="0"/>
      <w:marTop w:val="0"/>
      <w:marBottom w:val="0"/>
      <w:divBdr>
        <w:top w:val="none" w:sz="0" w:space="0" w:color="auto"/>
        <w:left w:val="none" w:sz="0" w:space="0" w:color="auto"/>
        <w:bottom w:val="none" w:sz="0" w:space="0" w:color="auto"/>
        <w:right w:val="none" w:sz="0" w:space="0" w:color="auto"/>
      </w:divBdr>
    </w:div>
    <w:div w:id="1184170107">
      <w:bodyDiv w:val="1"/>
      <w:marLeft w:val="0"/>
      <w:marRight w:val="0"/>
      <w:marTop w:val="0"/>
      <w:marBottom w:val="0"/>
      <w:divBdr>
        <w:top w:val="none" w:sz="0" w:space="0" w:color="auto"/>
        <w:left w:val="none" w:sz="0" w:space="0" w:color="auto"/>
        <w:bottom w:val="none" w:sz="0" w:space="0" w:color="auto"/>
        <w:right w:val="none" w:sz="0" w:space="0" w:color="auto"/>
      </w:divBdr>
    </w:div>
    <w:div w:id="1381202877">
      <w:bodyDiv w:val="1"/>
      <w:marLeft w:val="0"/>
      <w:marRight w:val="0"/>
      <w:marTop w:val="0"/>
      <w:marBottom w:val="0"/>
      <w:divBdr>
        <w:top w:val="none" w:sz="0" w:space="0" w:color="auto"/>
        <w:left w:val="none" w:sz="0" w:space="0" w:color="auto"/>
        <w:bottom w:val="none" w:sz="0" w:space="0" w:color="auto"/>
        <w:right w:val="none" w:sz="0" w:space="0" w:color="auto"/>
      </w:divBdr>
    </w:div>
    <w:div w:id="1384868133">
      <w:bodyDiv w:val="1"/>
      <w:marLeft w:val="0"/>
      <w:marRight w:val="0"/>
      <w:marTop w:val="0"/>
      <w:marBottom w:val="0"/>
      <w:divBdr>
        <w:top w:val="none" w:sz="0" w:space="0" w:color="auto"/>
        <w:left w:val="none" w:sz="0" w:space="0" w:color="auto"/>
        <w:bottom w:val="none" w:sz="0" w:space="0" w:color="auto"/>
        <w:right w:val="none" w:sz="0" w:space="0" w:color="auto"/>
      </w:divBdr>
    </w:div>
    <w:div w:id="1438410084">
      <w:bodyDiv w:val="1"/>
      <w:marLeft w:val="0"/>
      <w:marRight w:val="0"/>
      <w:marTop w:val="0"/>
      <w:marBottom w:val="0"/>
      <w:divBdr>
        <w:top w:val="none" w:sz="0" w:space="0" w:color="auto"/>
        <w:left w:val="none" w:sz="0" w:space="0" w:color="auto"/>
        <w:bottom w:val="none" w:sz="0" w:space="0" w:color="auto"/>
        <w:right w:val="none" w:sz="0" w:space="0" w:color="auto"/>
      </w:divBdr>
    </w:div>
    <w:div w:id="1519270096">
      <w:bodyDiv w:val="1"/>
      <w:marLeft w:val="0"/>
      <w:marRight w:val="0"/>
      <w:marTop w:val="0"/>
      <w:marBottom w:val="0"/>
      <w:divBdr>
        <w:top w:val="none" w:sz="0" w:space="0" w:color="auto"/>
        <w:left w:val="none" w:sz="0" w:space="0" w:color="auto"/>
        <w:bottom w:val="none" w:sz="0" w:space="0" w:color="auto"/>
        <w:right w:val="none" w:sz="0" w:space="0" w:color="auto"/>
      </w:divBdr>
    </w:div>
    <w:div w:id="1591617935">
      <w:bodyDiv w:val="1"/>
      <w:marLeft w:val="0"/>
      <w:marRight w:val="0"/>
      <w:marTop w:val="0"/>
      <w:marBottom w:val="0"/>
      <w:divBdr>
        <w:top w:val="none" w:sz="0" w:space="0" w:color="auto"/>
        <w:left w:val="none" w:sz="0" w:space="0" w:color="auto"/>
        <w:bottom w:val="none" w:sz="0" w:space="0" w:color="auto"/>
        <w:right w:val="none" w:sz="0" w:space="0" w:color="auto"/>
      </w:divBdr>
    </w:div>
    <w:div w:id="1616592099">
      <w:bodyDiv w:val="1"/>
      <w:marLeft w:val="0"/>
      <w:marRight w:val="0"/>
      <w:marTop w:val="0"/>
      <w:marBottom w:val="0"/>
      <w:divBdr>
        <w:top w:val="none" w:sz="0" w:space="0" w:color="auto"/>
        <w:left w:val="none" w:sz="0" w:space="0" w:color="auto"/>
        <w:bottom w:val="none" w:sz="0" w:space="0" w:color="auto"/>
        <w:right w:val="none" w:sz="0" w:space="0" w:color="auto"/>
      </w:divBdr>
    </w:div>
    <w:div w:id="1642533770">
      <w:bodyDiv w:val="1"/>
      <w:marLeft w:val="0"/>
      <w:marRight w:val="0"/>
      <w:marTop w:val="0"/>
      <w:marBottom w:val="0"/>
      <w:divBdr>
        <w:top w:val="none" w:sz="0" w:space="0" w:color="auto"/>
        <w:left w:val="none" w:sz="0" w:space="0" w:color="auto"/>
        <w:bottom w:val="none" w:sz="0" w:space="0" w:color="auto"/>
        <w:right w:val="none" w:sz="0" w:space="0" w:color="auto"/>
      </w:divBdr>
    </w:div>
    <w:div w:id="1681009050">
      <w:bodyDiv w:val="1"/>
      <w:marLeft w:val="0"/>
      <w:marRight w:val="0"/>
      <w:marTop w:val="0"/>
      <w:marBottom w:val="0"/>
      <w:divBdr>
        <w:top w:val="none" w:sz="0" w:space="0" w:color="auto"/>
        <w:left w:val="none" w:sz="0" w:space="0" w:color="auto"/>
        <w:bottom w:val="none" w:sz="0" w:space="0" w:color="auto"/>
        <w:right w:val="none" w:sz="0" w:space="0" w:color="auto"/>
      </w:divBdr>
    </w:div>
    <w:div w:id="1857957001">
      <w:bodyDiv w:val="1"/>
      <w:marLeft w:val="0"/>
      <w:marRight w:val="0"/>
      <w:marTop w:val="0"/>
      <w:marBottom w:val="0"/>
      <w:divBdr>
        <w:top w:val="none" w:sz="0" w:space="0" w:color="auto"/>
        <w:left w:val="none" w:sz="0" w:space="0" w:color="auto"/>
        <w:bottom w:val="none" w:sz="0" w:space="0" w:color="auto"/>
        <w:right w:val="none" w:sz="0" w:space="0" w:color="auto"/>
      </w:divBdr>
    </w:div>
    <w:div w:id="1892034924">
      <w:bodyDiv w:val="1"/>
      <w:marLeft w:val="0"/>
      <w:marRight w:val="0"/>
      <w:marTop w:val="0"/>
      <w:marBottom w:val="0"/>
      <w:divBdr>
        <w:top w:val="none" w:sz="0" w:space="0" w:color="auto"/>
        <w:left w:val="none" w:sz="0" w:space="0" w:color="auto"/>
        <w:bottom w:val="none" w:sz="0" w:space="0" w:color="auto"/>
        <w:right w:val="none" w:sz="0" w:space="0" w:color="auto"/>
      </w:divBdr>
    </w:div>
    <w:div w:id="1905872066">
      <w:bodyDiv w:val="1"/>
      <w:marLeft w:val="0"/>
      <w:marRight w:val="0"/>
      <w:marTop w:val="0"/>
      <w:marBottom w:val="0"/>
      <w:divBdr>
        <w:top w:val="none" w:sz="0" w:space="0" w:color="auto"/>
        <w:left w:val="none" w:sz="0" w:space="0" w:color="auto"/>
        <w:bottom w:val="none" w:sz="0" w:space="0" w:color="auto"/>
        <w:right w:val="none" w:sz="0" w:space="0" w:color="auto"/>
      </w:divBdr>
    </w:div>
    <w:div w:id="1926647272">
      <w:bodyDiv w:val="1"/>
      <w:marLeft w:val="0"/>
      <w:marRight w:val="0"/>
      <w:marTop w:val="0"/>
      <w:marBottom w:val="0"/>
      <w:divBdr>
        <w:top w:val="none" w:sz="0" w:space="0" w:color="auto"/>
        <w:left w:val="none" w:sz="0" w:space="0" w:color="auto"/>
        <w:bottom w:val="none" w:sz="0" w:space="0" w:color="auto"/>
        <w:right w:val="none" w:sz="0" w:space="0" w:color="auto"/>
      </w:divBdr>
    </w:div>
    <w:div w:id="1960606328">
      <w:bodyDiv w:val="1"/>
      <w:marLeft w:val="0"/>
      <w:marRight w:val="0"/>
      <w:marTop w:val="0"/>
      <w:marBottom w:val="0"/>
      <w:divBdr>
        <w:top w:val="none" w:sz="0" w:space="0" w:color="auto"/>
        <w:left w:val="none" w:sz="0" w:space="0" w:color="auto"/>
        <w:bottom w:val="none" w:sz="0" w:space="0" w:color="auto"/>
        <w:right w:val="none" w:sz="0" w:space="0" w:color="auto"/>
      </w:divBdr>
    </w:div>
    <w:div w:id="2072148616">
      <w:bodyDiv w:val="1"/>
      <w:marLeft w:val="0"/>
      <w:marRight w:val="0"/>
      <w:marTop w:val="0"/>
      <w:marBottom w:val="0"/>
      <w:divBdr>
        <w:top w:val="none" w:sz="0" w:space="0" w:color="auto"/>
        <w:left w:val="none" w:sz="0" w:space="0" w:color="auto"/>
        <w:bottom w:val="none" w:sz="0" w:space="0" w:color="auto"/>
        <w:right w:val="none" w:sz="0" w:space="0" w:color="auto"/>
      </w:divBdr>
    </w:div>
    <w:div w:id="2113623469">
      <w:bodyDiv w:val="1"/>
      <w:marLeft w:val="0"/>
      <w:marRight w:val="0"/>
      <w:marTop w:val="0"/>
      <w:marBottom w:val="0"/>
      <w:divBdr>
        <w:top w:val="none" w:sz="0" w:space="0" w:color="auto"/>
        <w:left w:val="none" w:sz="0" w:space="0" w:color="auto"/>
        <w:bottom w:val="none" w:sz="0" w:space="0" w:color="auto"/>
        <w:right w:val="none" w:sz="0" w:space="0" w:color="auto"/>
      </w:divBdr>
    </w:div>
    <w:div w:id="213590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ennedy@oxford.gov.uk"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54DB-3234-4627-A389-061C52927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6279125B</Template>
  <TotalTime>4</TotalTime>
  <Pages>6</Pages>
  <Words>1535</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vt:lpstr>
    </vt:vector>
  </TitlesOfParts>
  <Company>OCC</Company>
  <LinksUpToDate>false</LinksUpToDate>
  <CharactersWithSpaces>9798</CharactersWithSpaces>
  <SharedDoc>false</SharedDoc>
  <HLinks>
    <vt:vector size="6" baseType="variant">
      <vt:variant>
        <vt:i4>3407943</vt:i4>
      </vt:variant>
      <vt:variant>
        <vt:i4>0</vt:i4>
      </vt:variant>
      <vt:variant>
        <vt:i4>0</vt:i4>
      </vt:variant>
      <vt:variant>
        <vt:i4>5</vt:i4>
      </vt:variant>
      <vt:variant>
        <vt:lpwstr>mailto:nkennedy@oxford.gov.uk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nkennedy</dc:creator>
  <cp:lastModifiedBy>Phythian, Catherine - Oxford City Council</cp:lastModifiedBy>
  <cp:revision>4</cp:revision>
  <cp:lastPrinted>2015-08-10T13:07:00Z</cp:lastPrinted>
  <dcterms:created xsi:type="dcterms:W3CDTF">2015-08-22T09:16:00Z</dcterms:created>
  <dcterms:modified xsi:type="dcterms:W3CDTF">2015-08-28T13:54:00Z</dcterms:modified>
</cp:coreProperties>
</file>